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02" w:rsidRPr="00486D02" w:rsidRDefault="00761E6F" w:rsidP="00741026">
      <w:pPr>
        <w:jc w:val="center"/>
      </w:pPr>
      <w:r>
        <w:t>d</w:t>
      </w:r>
      <w:r w:rsidR="00486D02" w:rsidRPr="00486D02">
        <w:t>r. Valentina Franca</w:t>
      </w:r>
    </w:p>
    <w:p w:rsidR="00C82261" w:rsidRPr="00486D02" w:rsidRDefault="00741026" w:rsidP="00741026">
      <w:pPr>
        <w:jc w:val="center"/>
        <w:rPr>
          <w:b/>
          <w:sz w:val="40"/>
          <w:szCs w:val="40"/>
        </w:rPr>
      </w:pPr>
      <w:r w:rsidRPr="00486D02">
        <w:rPr>
          <w:b/>
          <w:sz w:val="40"/>
          <w:szCs w:val="40"/>
        </w:rPr>
        <w:t>Stanje in razvoj e</w:t>
      </w:r>
      <w:r w:rsidR="00D479D5" w:rsidRPr="00486D02">
        <w:rPr>
          <w:b/>
          <w:sz w:val="40"/>
          <w:szCs w:val="40"/>
        </w:rPr>
        <w:t>vropski</w:t>
      </w:r>
      <w:r w:rsidRPr="00486D02">
        <w:rPr>
          <w:b/>
          <w:sz w:val="40"/>
          <w:szCs w:val="40"/>
        </w:rPr>
        <w:t xml:space="preserve">h svetov </w:t>
      </w:r>
      <w:r w:rsidR="00D479D5" w:rsidRPr="00486D02">
        <w:rPr>
          <w:b/>
          <w:sz w:val="40"/>
          <w:szCs w:val="40"/>
        </w:rPr>
        <w:t>delavcev</w:t>
      </w:r>
    </w:p>
    <w:p w:rsidR="00741026" w:rsidRDefault="00741026"/>
    <w:p w:rsidR="00741026" w:rsidRPr="008F1386" w:rsidRDefault="00741026" w:rsidP="00741026">
      <w:pPr>
        <w:jc w:val="both"/>
        <w:rPr>
          <w:i/>
          <w:sz w:val="28"/>
          <w:szCs w:val="28"/>
        </w:rPr>
      </w:pPr>
      <w:r w:rsidRPr="008F1386">
        <w:rPr>
          <w:i/>
          <w:sz w:val="28"/>
          <w:szCs w:val="28"/>
        </w:rPr>
        <w:t>Leta 2016 bo minilo 20 let od prve direktive Evropske unije (EU) na področju evropskih svetov delavcev (ESD), zato so se že pričele različne aktivnosti z namenom evalvacije dela ter bodočega razvoja te oblike delavske participacije. Tako je Evropska komisija že napovedala razprav</w:t>
      </w:r>
      <w:r w:rsidR="00043328">
        <w:rPr>
          <w:i/>
          <w:sz w:val="28"/>
          <w:szCs w:val="28"/>
        </w:rPr>
        <w:t>o o ESD, ki bo</w:t>
      </w:r>
      <w:r w:rsidR="00687F77" w:rsidRPr="008F1386">
        <w:rPr>
          <w:i/>
          <w:sz w:val="28"/>
          <w:szCs w:val="28"/>
        </w:rPr>
        <w:t xml:space="preserve"> zagotovo vodila</w:t>
      </w:r>
      <w:r w:rsidRPr="008F1386">
        <w:rPr>
          <w:i/>
          <w:sz w:val="28"/>
          <w:szCs w:val="28"/>
        </w:rPr>
        <w:t xml:space="preserve"> v zakonodajne spremembe. Evropski sindikalni inštitut (ETUI, </w:t>
      </w:r>
      <w:proofErr w:type="spellStart"/>
      <w:r w:rsidRPr="008F1386">
        <w:rPr>
          <w:i/>
          <w:sz w:val="28"/>
          <w:szCs w:val="28"/>
        </w:rPr>
        <w:t>European</w:t>
      </w:r>
      <w:proofErr w:type="spellEnd"/>
      <w:r w:rsidRPr="008F1386">
        <w:rPr>
          <w:i/>
          <w:sz w:val="28"/>
          <w:szCs w:val="28"/>
        </w:rPr>
        <w:t xml:space="preserve"> </w:t>
      </w:r>
      <w:proofErr w:type="spellStart"/>
      <w:r w:rsidRPr="008F1386">
        <w:rPr>
          <w:i/>
          <w:sz w:val="28"/>
          <w:szCs w:val="28"/>
        </w:rPr>
        <w:t>Trade</w:t>
      </w:r>
      <w:proofErr w:type="spellEnd"/>
      <w:r w:rsidRPr="008F1386">
        <w:rPr>
          <w:i/>
          <w:sz w:val="28"/>
          <w:szCs w:val="28"/>
        </w:rPr>
        <w:t xml:space="preserve"> Union Institute) pa </w:t>
      </w:r>
      <w:r w:rsidR="00687F77" w:rsidRPr="008F1386">
        <w:rPr>
          <w:i/>
          <w:sz w:val="28"/>
          <w:szCs w:val="28"/>
        </w:rPr>
        <w:t xml:space="preserve">se </w:t>
      </w:r>
      <w:r w:rsidRPr="008F1386">
        <w:rPr>
          <w:i/>
          <w:sz w:val="28"/>
          <w:szCs w:val="28"/>
        </w:rPr>
        <w:t>je medtem že lotil dela in objavil raziskavo (</w:t>
      </w:r>
      <w:proofErr w:type="spellStart"/>
      <w:r w:rsidRPr="008F1386">
        <w:rPr>
          <w:i/>
          <w:sz w:val="28"/>
          <w:szCs w:val="28"/>
        </w:rPr>
        <w:t>European</w:t>
      </w:r>
      <w:proofErr w:type="spellEnd"/>
      <w:r w:rsidRPr="008F1386">
        <w:rPr>
          <w:i/>
          <w:sz w:val="28"/>
          <w:szCs w:val="28"/>
        </w:rPr>
        <w:t xml:space="preserve"> Works </w:t>
      </w:r>
      <w:proofErr w:type="spellStart"/>
      <w:r w:rsidRPr="008F1386">
        <w:rPr>
          <w:i/>
          <w:sz w:val="28"/>
          <w:szCs w:val="28"/>
        </w:rPr>
        <w:t>Councils</w:t>
      </w:r>
      <w:proofErr w:type="spellEnd"/>
      <w:r w:rsidRPr="008F1386">
        <w:rPr>
          <w:i/>
          <w:sz w:val="28"/>
          <w:szCs w:val="28"/>
        </w:rPr>
        <w:t xml:space="preserve"> </w:t>
      </w:r>
      <w:proofErr w:type="spellStart"/>
      <w:r w:rsidRPr="008F1386">
        <w:rPr>
          <w:i/>
          <w:sz w:val="28"/>
          <w:szCs w:val="28"/>
        </w:rPr>
        <w:t>and</w:t>
      </w:r>
      <w:proofErr w:type="spellEnd"/>
      <w:r w:rsidRPr="008F1386">
        <w:rPr>
          <w:i/>
          <w:sz w:val="28"/>
          <w:szCs w:val="28"/>
        </w:rPr>
        <w:t xml:space="preserve"> SE </w:t>
      </w:r>
      <w:proofErr w:type="spellStart"/>
      <w:r w:rsidRPr="008F1386">
        <w:rPr>
          <w:i/>
          <w:sz w:val="28"/>
          <w:szCs w:val="28"/>
        </w:rPr>
        <w:t>Work</w:t>
      </w:r>
      <w:proofErr w:type="spellEnd"/>
      <w:r w:rsidRPr="008F1386">
        <w:rPr>
          <w:i/>
          <w:sz w:val="28"/>
          <w:szCs w:val="28"/>
        </w:rPr>
        <w:t xml:space="preserve"> </w:t>
      </w:r>
      <w:proofErr w:type="spellStart"/>
      <w:r w:rsidRPr="008F1386">
        <w:rPr>
          <w:i/>
          <w:sz w:val="28"/>
          <w:szCs w:val="28"/>
        </w:rPr>
        <w:t>Councils</w:t>
      </w:r>
      <w:proofErr w:type="spellEnd"/>
      <w:r w:rsidRPr="008F1386">
        <w:rPr>
          <w:i/>
          <w:sz w:val="28"/>
          <w:szCs w:val="28"/>
        </w:rPr>
        <w:t xml:space="preserve"> in 2015), v kateri je predstavil delovanje ESD predvsem skozi statistične podatke. Tako v nadaljevanju povzemamo njihove glavne ugotovitve. </w:t>
      </w:r>
    </w:p>
    <w:p w:rsidR="00741026" w:rsidRDefault="00741026" w:rsidP="00741026">
      <w:pPr>
        <w:jc w:val="both"/>
      </w:pPr>
    </w:p>
    <w:p w:rsidR="00741026" w:rsidRPr="00B173C7" w:rsidRDefault="00741026" w:rsidP="00741026">
      <w:pPr>
        <w:jc w:val="both"/>
        <w:rPr>
          <w:b/>
          <w:i/>
          <w:sz w:val="28"/>
          <w:szCs w:val="28"/>
        </w:rPr>
      </w:pPr>
      <w:r w:rsidRPr="00B173C7">
        <w:rPr>
          <w:b/>
          <w:i/>
          <w:sz w:val="28"/>
          <w:szCs w:val="28"/>
        </w:rPr>
        <w:t>Prisotnost ESD</w:t>
      </w:r>
    </w:p>
    <w:p w:rsidR="008F1386" w:rsidRPr="00741026" w:rsidRDefault="008F1386" w:rsidP="00741026">
      <w:pPr>
        <w:jc w:val="both"/>
        <w:rPr>
          <w:b/>
          <w:i/>
        </w:rPr>
      </w:pPr>
    </w:p>
    <w:p w:rsidR="00741026" w:rsidRDefault="00687F77" w:rsidP="00741026">
      <w:pPr>
        <w:jc w:val="both"/>
      </w:pPr>
      <w:r>
        <w:t xml:space="preserve">Prve ESD beležimo </w:t>
      </w:r>
      <w:r w:rsidRPr="008F1386">
        <w:rPr>
          <w:b/>
        </w:rPr>
        <w:t xml:space="preserve">leta </w:t>
      </w:r>
      <w:r w:rsidR="00741026" w:rsidRPr="008F1386">
        <w:rPr>
          <w:b/>
        </w:rPr>
        <w:t>1985, ko jih je bilo 13</w:t>
      </w:r>
      <w:r w:rsidR="00741026">
        <w:t xml:space="preserve">. Danes se je ta številka </w:t>
      </w:r>
      <w:r w:rsidR="00741026" w:rsidRPr="008F1386">
        <w:rPr>
          <w:b/>
        </w:rPr>
        <w:t>povzpela na 1</w:t>
      </w:r>
      <w:r w:rsidR="003817B8">
        <w:rPr>
          <w:b/>
        </w:rPr>
        <w:t>.</w:t>
      </w:r>
      <w:r w:rsidR="00741026" w:rsidRPr="008F1386">
        <w:rPr>
          <w:b/>
        </w:rPr>
        <w:t>071 in še raste</w:t>
      </w:r>
      <w:r w:rsidR="00741026">
        <w:t>. Čeprav se je stopnja rasti v zadnjih letih umirila, se v povprečju letno ustanovi 25 ESD. Slaba desetina vseh ESD se ustanovi v evropski delniški družbi (</w:t>
      </w:r>
      <w:proofErr w:type="spellStart"/>
      <w:r w:rsidR="00741026">
        <w:t>Societas</w:t>
      </w:r>
      <w:proofErr w:type="spellEnd"/>
      <w:r w:rsidR="00741026">
        <w:t xml:space="preserve"> </w:t>
      </w:r>
      <w:proofErr w:type="spellStart"/>
      <w:r w:rsidR="00741026">
        <w:t>Europea</w:t>
      </w:r>
      <w:proofErr w:type="spellEnd"/>
      <w:r w:rsidR="00741026">
        <w:t>, SE), pri čemer se večina tovrstnih ESD ustanovi v Nemčiji</w:t>
      </w:r>
      <w:r w:rsidR="007C3DC9">
        <w:t xml:space="preserve">. Zanimiv je podatek, da </w:t>
      </w:r>
      <w:r>
        <w:t xml:space="preserve">sta se </w:t>
      </w:r>
      <w:r w:rsidR="007C3DC9">
        <w:t>2</w:t>
      </w:r>
      <w:r w:rsidR="00457900">
        <w:t xml:space="preserve"> odstotka</w:t>
      </w:r>
      <w:r>
        <w:t xml:space="preserve"> trenutno delujočih ESD </w:t>
      </w:r>
      <w:r w:rsidR="007C3DC9">
        <w:t>odločila, da razširi</w:t>
      </w:r>
      <w:r w:rsidR="008F1386">
        <w:t>jo</w:t>
      </w:r>
      <w:r w:rsidR="007C3DC9">
        <w:t xml:space="preserve"> namen njihovega delovanja iz Evrope na cel svet. </w:t>
      </w:r>
    </w:p>
    <w:p w:rsidR="007C3DC9" w:rsidRDefault="007C3DC9" w:rsidP="00741026">
      <w:pPr>
        <w:jc w:val="both"/>
      </w:pPr>
    </w:p>
    <w:p w:rsidR="007C3DC9" w:rsidRDefault="007C3DC9" w:rsidP="00741026">
      <w:pPr>
        <w:jc w:val="both"/>
      </w:pPr>
      <w:r>
        <w:t xml:space="preserve">Ena izmed glavnih pravic in hkrati obveznost ESD je </w:t>
      </w:r>
      <w:r w:rsidRPr="008F1386">
        <w:rPr>
          <w:b/>
        </w:rPr>
        <w:t xml:space="preserve">sklenitev </w:t>
      </w:r>
      <w:r w:rsidR="00687F77" w:rsidRPr="008F1386">
        <w:rPr>
          <w:b/>
        </w:rPr>
        <w:t xml:space="preserve">»participacijskega« </w:t>
      </w:r>
      <w:r w:rsidR="0057320C" w:rsidRPr="008F1386">
        <w:rPr>
          <w:b/>
        </w:rPr>
        <w:t>dogovora</w:t>
      </w:r>
      <w:r w:rsidR="0057320C" w:rsidRPr="00687F77">
        <w:t>.</w:t>
      </w:r>
      <w:r w:rsidR="00687F77">
        <w:t xml:space="preserve"> V okviru tega je pomembna določitev časa </w:t>
      </w:r>
      <w:r w:rsidR="0057320C">
        <w:t>delovanja ESD. Kajti ključno je, da dogovor vsebuje določbe, ki omogočajo trajnost delovanja. Tako ima polovica ESD sklenjen dogovor za nedoločen čas, kar pomeni, da se avtomat</w:t>
      </w:r>
      <w:r w:rsidR="008F1386">
        <w:t>ično</w:t>
      </w:r>
      <w:r w:rsidR="0057320C">
        <w:t xml:space="preserve"> podaljšuje. Četrtina ima sklenjene dogovore za štiri leta, po 7</w:t>
      </w:r>
      <w:r w:rsidR="001654AA">
        <w:t xml:space="preserve"> </w:t>
      </w:r>
      <w:r w:rsidR="0057320C">
        <w:t xml:space="preserve">% za pet ali več let oziroma za 3 leta. Pri določanju časa veljavnosti dogovora se </w:t>
      </w:r>
      <w:r w:rsidR="00E1186F">
        <w:t>odražajo kulturne in zakonske</w:t>
      </w:r>
      <w:r w:rsidR="0057320C">
        <w:t xml:space="preserve"> značilnosti posamezne države članice, zato ne preseneča, da </w:t>
      </w:r>
      <w:r w:rsidR="00B173C7">
        <w:t xml:space="preserve">jih ima </w:t>
      </w:r>
      <w:r w:rsidR="0057320C">
        <w:t>med dr</w:t>
      </w:r>
      <w:r w:rsidR="00E1186F">
        <w:t>užbami s sedežem v Nemčiji</w:t>
      </w:r>
      <w:r w:rsidR="0057320C">
        <w:t xml:space="preserve"> kar tri četrtine sklenjen dogovor za nedoločen čas. </w:t>
      </w:r>
    </w:p>
    <w:p w:rsidR="00B55DCC" w:rsidRDefault="00B55DCC" w:rsidP="00741026">
      <w:pPr>
        <w:jc w:val="both"/>
      </w:pPr>
    </w:p>
    <w:p w:rsidR="00B55DCC" w:rsidRDefault="00B55DCC" w:rsidP="00741026">
      <w:pPr>
        <w:jc w:val="both"/>
      </w:pPr>
      <w:r>
        <w:t xml:space="preserve">Po drugi strani je treba pogledati tudi </w:t>
      </w:r>
      <w:r w:rsidRPr="00B173C7">
        <w:rPr>
          <w:b/>
        </w:rPr>
        <w:t>razloge za razpustitev oziroma ukinitev ESD</w:t>
      </w:r>
      <w:r>
        <w:t xml:space="preserve">. V večini primerov, to so slabe tri četrtine, se je to zgodilo zaradi združitve ali prevzema družb. Običajno se je v teh primerih oblikoval nov ESD v novo oblikovani družbi. </w:t>
      </w:r>
    </w:p>
    <w:p w:rsidR="00B55DCC" w:rsidRDefault="00B55DCC" w:rsidP="00741026">
      <w:pPr>
        <w:jc w:val="both"/>
      </w:pPr>
    </w:p>
    <w:p w:rsidR="00BC03AA" w:rsidRDefault="00E1186F" w:rsidP="00741026">
      <w:pPr>
        <w:jc w:val="both"/>
      </w:pPr>
      <w:r>
        <w:t xml:space="preserve">Prisotnost ESD glede na panogo </w:t>
      </w:r>
      <w:r w:rsidR="00B55DCC">
        <w:t>raz</w:t>
      </w:r>
      <w:r>
        <w:t>k</w:t>
      </w:r>
      <w:r w:rsidR="00B55DCC">
        <w:t xml:space="preserve">rije </w:t>
      </w:r>
      <w:r>
        <w:t>precejšnjo neenakomerno</w:t>
      </w:r>
      <w:r w:rsidR="00DE6903">
        <w:t>st</w:t>
      </w:r>
      <w:r w:rsidR="00B55DCC">
        <w:t>. Kajti tri četr</w:t>
      </w:r>
      <w:r>
        <w:t>t</w:t>
      </w:r>
      <w:r w:rsidR="00B55DCC">
        <w:t xml:space="preserve">ine ESD je prisotnih v kovinski panogi, storitvenih </w:t>
      </w:r>
      <w:r>
        <w:t>dejavnosti in kemični industriji</w:t>
      </w:r>
      <w:r w:rsidR="00B55DCC">
        <w:t xml:space="preserve">. Eden izmed glavnih razlogov za takšno neenakomerno </w:t>
      </w:r>
      <w:r>
        <w:t>prisotnost</w:t>
      </w:r>
      <w:r w:rsidR="00B55DCC">
        <w:t xml:space="preserve"> je pr</w:t>
      </w:r>
      <w:r>
        <w:t xml:space="preserve">eprosto </w:t>
      </w:r>
      <w:r w:rsidRPr="00B173C7">
        <w:rPr>
          <w:b/>
        </w:rPr>
        <w:t xml:space="preserve">večje število </w:t>
      </w:r>
      <w:r w:rsidR="00B55DCC" w:rsidRPr="00B173C7">
        <w:rPr>
          <w:b/>
        </w:rPr>
        <w:t>multinacionalk v teh panogah</w:t>
      </w:r>
      <w:r w:rsidR="00B55DCC">
        <w:t xml:space="preserve">. </w:t>
      </w:r>
      <w:r w:rsidR="00BC03AA">
        <w:t xml:space="preserve">Drugi razlog je </w:t>
      </w:r>
      <w:r w:rsidR="00BC03AA" w:rsidRPr="00B173C7">
        <w:rPr>
          <w:b/>
        </w:rPr>
        <w:t>način organizacije in dela</w:t>
      </w:r>
      <w:r w:rsidR="00BC03AA">
        <w:t>, torej</w:t>
      </w:r>
      <w:r w:rsidR="00DA1FAD">
        <w:t>,</w:t>
      </w:r>
      <w:r w:rsidR="00BC03AA">
        <w:t xml:space="preserve"> ali so delavci koncentrirani na enem mestu, na primer večja proizvodnja</w:t>
      </w:r>
      <w:r>
        <w:t xml:space="preserve"> oziroma tovarna</w:t>
      </w:r>
      <w:r w:rsidR="00BC03AA">
        <w:t xml:space="preserve">, ali so razpršeni, kot je to v primeru transporta in gradbeništva. </w:t>
      </w:r>
    </w:p>
    <w:p w:rsidR="00BC03AA" w:rsidRDefault="00BC03AA" w:rsidP="00741026">
      <w:pPr>
        <w:jc w:val="both"/>
      </w:pPr>
    </w:p>
    <w:p w:rsidR="00B173C7" w:rsidRPr="002B76F3" w:rsidRDefault="00B173C7" w:rsidP="00B1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2B76F3">
        <w:rPr>
          <w:b/>
          <w:i/>
        </w:rPr>
        <w:lastRenderedPageBreak/>
        <w:t>ESD v novih državah članicah</w:t>
      </w:r>
    </w:p>
    <w:p w:rsidR="00B173C7" w:rsidRDefault="00B173C7" w:rsidP="00741026">
      <w:pPr>
        <w:jc w:val="both"/>
      </w:pPr>
    </w:p>
    <w:p w:rsidR="002B76F3" w:rsidRDefault="00BC03AA" w:rsidP="00B1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Več kot polovica ESD je ustanovljena v družbah s sedežem v Nemčiji, Franciji, Veliki Britaniji, na Švedskem in Nizozemskem. Glede na velikost teh gospodarstev to niti ne preseneča. Na drugi strani pa je presenetljivo sorazmerno majhno število novoustanovljenih ESD v državah članicah, ki so pridružile EU po letu 2004. Raziskava navaja, da je bilo samo pet ESD ustanovljenih na Madžarskem in po en ESD </w:t>
      </w:r>
      <w:r w:rsidR="002B76F3">
        <w:t>na Češkem, Poljskem in Cipru. Ob tem velja dodati, da je tudi Gorenje, d.d.</w:t>
      </w:r>
      <w:r w:rsidR="00E1186F">
        <w:t>,</w:t>
      </w:r>
      <w:r w:rsidR="002B76F3">
        <w:t xml:space="preserve"> lansko leto kot prvo in edino</w:t>
      </w:r>
      <w:r w:rsidR="00B55DCC">
        <w:t xml:space="preserve"> </w:t>
      </w:r>
      <w:r w:rsidR="002B76F3">
        <w:t xml:space="preserve">slovensko podjetje ustanovilo ESD. Po drugi strani </w:t>
      </w:r>
      <w:r w:rsidR="00E1186F">
        <w:t xml:space="preserve">ima več kot 250 ESD </w:t>
      </w:r>
      <w:r w:rsidR="002B76F3">
        <w:t>člane iz različnih držav članic; medtem ko</w:t>
      </w:r>
      <w:r w:rsidR="00E1186F">
        <w:t xml:space="preserve"> ima 25 ESD </w:t>
      </w:r>
      <w:r w:rsidR="002B76F3">
        <w:t xml:space="preserve">člane iz </w:t>
      </w:r>
      <w:r w:rsidR="00E1186F">
        <w:t>kandidatk za vstop v EU, to so</w:t>
      </w:r>
      <w:r w:rsidR="002B76F3">
        <w:t xml:space="preserve"> Turčija, Makedonija</w:t>
      </w:r>
      <w:r w:rsidR="00E1186F">
        <w:t>, S</w:t>
      </w:r>
      <w:r w:rsidR="00DA1FAD">
        <w:t>rbija in Črna g</w:t>
      </w:r>
      <w:r w:rsidR="002B76F3">
        <w:t xml:space="preserve">ora. </w:t>
      </w:r>
    </w:p>
    <w:p w:rsidR="008D39C6" w:rsidRDefault="008D39C6" w:rsidP="00741026">
      <w:pPr>
        <w:jc w:val="both"/>
      </w:pPr>
    </w:p>
    <w:p w:rsidR="008D39C6" w:rsidRPr="00B173C7" w:rsidRDefault="008D39C6" w:rsidP="00741026">
      <w:pPr>
        <w:jc w:val="both"/>
        <w:rPr>
          <w:b/>
          <w:i/>
          <w:sz w:val="28"/>
          <w:szCs w:val="28"/>
        </w:rPr>
      </w:pPr>
      <w:r w:rsidRPr="00B173C7">
        <w:rPr>
          <w:b/>
          <w:i/>
          <w:sz w:val="28"/>
          <w:szCs w:val="28"/>
        </w:rPr>
        <w:t>Sestava ESD</w:t>
      </w:r>
    </w:p>
    <w:p w:rsidR="00B173C7" w:rsidRDefault="00B173C7" w:rsidP="00741026">
      <w:pPr>
        <w:jc w:val="both"/>
        <w:rPr>
          <w:b/>
          <w:i/>
        </w:rPr>
      </w:pPr>
    </w:p>
    <w:p w:rsidR="008D39C6" w:rsidRDefault="008D39C6" w:rsidP="00741026">
      <w:pPr>
        <w:jc w:val="both"/>
      </w:pPr>
      <w:r>
        <w:t xml:space="preserve">ESD </w:t>
      </w:r>
      <w:r w:rsidR="00E1186F">
        <w:t xml:space="preserve">so </w:t>
      </w:r>
      <w:r>
        <w:t xml:space="preserve">lahko sestavljeni samo iz delavskih predstavnikov </w:t>
      </w:r>
      <w:r w:rsidRPr="00B173C7">
        <w:rPr>
          <w:b/>
        </w:rPr>
        <w:t xml:space="preserve">(t. </w:t>
      </w:r>
      <w:r w:rsidR="00E1186F" w:rsidRPr="00B173C7">
        <w:rPr>
          <w:b/>
        </w:rPr>
        <w:t>i</w:t>
      </w:r>
      <w:r w:rsidRPr="00B173C7">
        <w:rPr>
          <w:b/>
        </w:rPr>
        <w:t>. nemški model ESD)</w:t>
      </w:r>
      <w:r>
        <w:t xml:space="preserve"> ali kot skupno telo delavskih predstavnikov in </w:t>
      </w:r>
      <w:r w:rsidR="001B1F84">
        <w:t>menedžmenta</w:t>
      </w:r>
      <w:r>
        <w:t xml:space="preserve"> </w:t>
      </w:r>
      <w:r w:rsidRPr="00B173C7">
        <w:rPr>
          <w:b/>
        </w:rPr>
        <w:t>(t.</w:t>
      </w:r>
      <w:r w:rsidR="00E1186F" w:rsidRPr="00B173C7">
        <w:rPr>
          <w:b/>
        </w:rPr>
        <w:t xml:space="preserve"> </w:t>
      </w:r>
      <w:r w:rsidRPr="00B173C7">
        <w:rPr>
          <w:b/>
        </w:rPr>
        <w:t>i. francoski model ESD)</w:t>
      </w:r>
      <w:r>
        <w:t xml:space="preserve">. Večina </w:t>
      </w:r>
      <w:r w:rsidR="00E1186F">
        <w:t xml:space="preserve">delujočih ESD je oblikovana kot skupno telo delavskih predstavnikov in </w:t>
      </w:r>
      <w:r w:rsidR="00C55E79">
        <w:t>menedžmenta</w:t>
      </w:r>
      <w:r w:rsidR="00E1186F">
        <w:t>,</w:t>
      </w:r>
      <w:r>
        <w:t xml:space="preserve"> medtem ko je večina ESD pri SE sestavljena zgolj iz delavskih predstavnikov. Slednje ne preseneča </w:t>
      </w:r>
      <w:r w:rsidR="00B54F99">
        <w:t>ob dejstvu</w:t>
      </w:r>
      <w:r w:rsidR="00F94488">
        <w:t xml:space="preserve">, da </w:t>
      </w:r>
      <w:r>
        <w:t xml:space="preserve">večina ESD v SE deluje ravno v </w:t>
      </w:r>
      <w:proofErr w:type="spellStart"/>
      <w:r>
        <w:t>Nemčji</w:t>
      </w:r>
      <w:proofErr w:type="spellEnd"/>
      <w:r>
        <w:t xml:space="preserve">. V praksi pa se dejansko kaže združevanje obeh modelov ESD, kajti pri nemškem modelu se ESD </w:t>
      </w:r>
      <w:r w:rsidR="007547A8">
        <w:t>sestane</w:t>
      </w:r>
      <w:r>
        <w:t xml:space="preserve"> najprej </w:t>
      </w:r>
      <w:r w:rsidR="00D06927">
        <w:t>sam</w:t>
      </w:r>
      <w:r>
        <w:t xml:space="preserve">, nato pa še z </w:t>
      </w:r>
      <w:r w:rsidR="007547A8">
        <w:t>menedžmentom</w:t>
      </w:r>
      <w:r>
        <w:t xml:space="preserve">. Podobno je pri francoskem modelu, ko se običajno naprej sestanejo neformalno samo delavski predstavniki, nato pa še formalno kot skupno telo z </w:t>
      </w:r>
      <w:r w:rsidR="004E429D">
        <w:t>menedžmentom</w:t>
      </w:r>
      <w:r>
        <w:t xml:space="preserve">. </w:t>
      </w:r>
    </w:p>
    <w:p w:rsidR="008D39C6" w:rsidRDefault="008D39C6" w:rsidP="00741026">
      <w:pPr>
        <w:jc w:val="both"/>
      </w:pPr>
    </w:p>
    <w:p w:rsidR="00C10A49" w:rsidRDefault="00E1186F" w:rsidP="00741026">
      <w:pPr>
        <w:jc w:val="both"/>
      </w:pPr>
      <w:r>
        <w:t>Dobra četrtina ESD ima</w:t>
      </w:r>
      <w:r w:rsidR="008D39C6">
        <w:t xml:space="preserve"> od 10 do 19 delavskih predstavnikov, dobra desetina med 20 in 29, medtem ko </w:t>
      </w:r>
      <w:r w:rsidR="00D263A8">
        <w:t xml:space="preserve">ima ESD </w:t>
      </w:r>
      <w:r w:rsidR="008D39C6">
        <w:t>v 9</w:t>
      </w:r>
      <w:r>
        <w:t xml:space="preserve"> </w:t>
      </w:r>
      <w:r w:rsidR="008D39C6">
        <w:t>% manj kot 10 delavskih predstavn</w:t>
      </w:r>
      <w:r w:rsidR="005030E4">
        <w:t>ikov. Na drugi strani pa ima 6 odstotkov</w:t>
      </w:r>
      <w:r w:rsidR="008D39C6">
        <w:t xml:space="preserve"> ESD 30 ali več delavskih predstavnikov.</w:t>
      </w:r>
      <w:r w:rsidR="000B0310">
        <w:t xml:space="preserve"> Pri imenovanju oziroma izvolitvi delavskih predstavnikov v ESD se več kot pol</w:t>
      </w:r>
      <w:r>
        <w:t>ovica družb ravna po nacionalni zakonodaji,</w:t>
      </w:r>
      <w:r w:rsidR="000B0310">
        <w:t xml:space="preserve"> četrtina pa prepušča izbor delavskih predstavnikov sindikatom ali nacionalnim </w:t>
      </w:r>
      <w:proofErr w:type="spellStart"/>
      <w:r w:rsidR="000B0310">
        <w:t>predstavniškom</w:t>
      </w:r>
      <w:proofErr w:type="spellEnd"/>
      <w:r w:rsidR="000B0310">
        <w:t xml:space="preserve"> telesom. </w:t>
      </w:r>
      <w:r w:rsidR="00120AAA">
        <w:t xml:space="preserve">Raziskovalci ETUI poudarjajo, da je </w:t>
      </w:r>
      <w:r w:rsidR="00120AAA" w:rsidRPr="00B173C7">
        <w:rPr>
          <w:b/>
        </w:rPr>
        <w:t>povezava med sindi</w:t>
      </w:r>
      <w:r w:rsidRPr="00B173C7">
        <w:rPr>
          <w:b/>
        </w:rPr>
        <w:t>k</w:t>
      </w:r>
      <w:r w:rsidR="00120AAA" w:rsidRPr="00B173C7">
        <w:rPr>
          <w:b/>
        </w:rPr>
        <w:t>ati in člani ESD zelo pomembna</w:t>
      </w:r>
      <w:r w:rsidR="00120AAA">
        <w:t xml:space="preserve">, kajti v praksi se kaže, da je delovanje ESD v splošnem bolj učinkovito, kjer sindikati nudijo podporo in znanje delavskim predstavnikom v ESD. Ravno tako se prisotnost sindikatov kaže kot dejavnik pospeševanja ustanovitve novih ESD. </w:t>
      </w:r>
    </w:p>
    <w:p w:rsidR="00C10A49" w:rsidRDefault="00C10A49" w:rsidP="00741026">
      <w:pPr>
        <w:jc w:val="both"/>
      </w:pPr>
    </w:p>
    <w:p w:rsidR="008D39C6" w:rsidRDefault="00C10A49" w:rsidP="00741026">
      <w:pPr>
        <w:jc w:val="both"/>
      </w:pPr>
      <w:r>
        <w:t xml:space="preserve">Dobra polovica delavskih predstavnikov v ESD ima štirileten mandat, petina manj kot štirileten, v 14 % pa mandat traja več kot štiri leta. </w:t>
      </w:r>
    </w:p>
    <w:p w:rsidR="00C10A49" w:rsidRDefault="00C10A49" w:rsidP="00741026">
      <w:pPr>
        <w:jc w:val="both"/>
      </w:pPr>
    </w:p>
    <w:p w:rsidR="00C10A49" w:rsidRPr="00B173C7" w:rsidRDefault="009B03A5" w:rsidP="00741026">
      <w:pPr>
        <w:jc w:val="both"/>
        <w:rPr>
          <w:b/>
          <w:i/>
          <w:sz w:val="28"/>
          <w:szCs w:val="28"/>
        </w:rPr>
      </w:pPr>
      <w:r w:rsidRPr="00B173C7">
        <w:rPr>
          <w:b/>
          <w:i/>
          <w:sz w:val="28"/>
          <w:szCs w:val="28"/>
        </w:rPr>
        <w:t>Delovanje</w:t>
      </w:r>
      <w:r w:rsidR="00C10A49" w:rsidRPr="00B173C7">
        <w:rPr>
          <w:b/>
          <w:i/>
          <w:sz w:val="28"/>
          <w:szCs w:val="28"/>
        </w:rPr>
        <w:t xml:space="preserve"> ESD</w:t>
      </w:r>
    </w:p>
    <w:p w:rsidR="00B173C7" w:rsidRPr="009B03A5" w:rsidRDefault="00B173C7" w:rsidP="00741026">
      <w:pPr>
        <w:jc w:val="both"/>
        <w:rPr>
          <w:b/>
          <w:i/>
        </w:rPr>
      </w:pPr>
    </w:p>
    <w:p w:rsidR="00DC33B8" w:rsidRDefault="009B03A5" w:rsidP="00741026">
      <w:pPr>
        <w:jc w:val="both"/>
      </w:pPr>
      <w:r>
        <w:t xml:space="preserve">Praktično </w:t>
      </w:r>
      <w:r w:rsidR="00DC33B8">
        <w:t xml:space="preserve">vsi ESD (94 %) imajo </w:t>
      </w:r>
      <w:r w:rsidR="00DC33B8" w:rsidRPr="00B173C7">
        <w:rPr>
          <w:b/>
        </w:rPr>
        <w:t xml:space="preserve">pravico in možnost prejemati informacije in biti </w:t>
      </w:r>
      <w:proofErr w:type="spellStart"/>
      <w:r w:rsidR="00DC33B8" w:rsidRPr="00B173C7">
        <w:rPr>
          <w:b/>
        </w:rPr>
        <w:t>posvetovani</w:t>
      </w:r>
      <w:proofErr w:type="spellEnd"/>
      <w:r w:rsidR="00DC33B8" w:rsidRPr="00B173C7">
        <w:rPr>
          <w:b/>
        </w:rPr>
        <w:t xml:space="preserve"> glede transnacionalnih vsebin</w:t>
      </w:r>
      <w:r w:rsidR="00DC33B8">
        <w:t xml:space="preserve">. Zgolj slabi polovici (43 %) ESD pa se možnost sodelovanja pri upravljanju razširja na </w:t>
      </w:r>
      <w:r w:rsidR="00DC33B8" w:rsidRPr="00B173C7">
        <w:rPr>
          <w:b/>
        </w:rPr>
        <w:t>dajanje mnenj in komentarjev</w:t>
      </w:r>
      <w:r w:rsidR="00DC33B8">
        <w:t xml:space="preserve">. V redkih primerih pa se delovanje ESD razširja čez te možnosti. Kajti manj kot eden od desetih ESD ima </w:t>
      </w:r>
      <w:r w:rsidR="00DC33B8" w:rsidRPr="00E54D3F">
        <w:t xml:space="preserve">možnost </w:t>
      </w:r>
      <w:r w:rsidR="00E54D3F">
        <w:t xml:space="preserve">pobude za začetek </w:t>
      </w:r>
      <w:r w:rsidR="00DC33B8" w:rsidRPr="00E54D3F">
        <w:t>projekt</w:t>
      </w:r>
      <w:r w:rsidR="00E54D3F">
        <w:t>a</w:t>
      </w:r>
      <w:r w:rsidR="00DC33B8" w:rsidRPr="00E54D3F">
        <w:t>, zahteva</w:t>
      </w:r>
      <w:r w:rsidR="00E54D3F">
        <w:t>ti</w:t>
      </w:r>
      <w:r w:rsidR="00DC33B8" w:rsidRPr="00E54D3F">
        <w:t xml:space="preserve"> soglasje ali vstopi</w:t>
      </w:r>
      <w:r w:rsidR="00E54D3F">
        <w:t>ti</w:t>
      </w:r>
      <w:r w:rsidR="00DC33B8" w:rsidRPr="00E54D3F">
        <w:t xml:space="preserve"> v pogajanja z </w:t>
      </w:r>
      <w:r w:rsidR="007F6EBF">
        <w:t>menedžmentom</w:t>
      </w:r>
      <w:r w:rsidR="00DC33B8" w:rsidRPr="00E54D3F">
        <w:t>. Glede</w:t>
      </w:r>
      <w:r w:rsidR="00DC33B8">
        <w:t xml:space="preserve"> na vsebino se </w:t>
      </w:r>
      <w:r w:rsidR="00DC33B8">
        <w:lastRenderedPageBreak/>
        <w:t>v več kot 60 % ESD pravica do obveščenosti in posvetovanja nanaša na ekonomsko in finančno pos</w:t>
      </w:r>
      <w:r w:rsidR="00E54D3F">
        <w:t>lovanje družbe, stanje in načrte o zaposlovanju, korporativno strategijo</w:t>
      </w:r>
      <w:r w:rsidR="00DC33B8">
        <w:t xml:space="preserve"> in investicije, razvoj na področju proizvodnje </w:t>
      </w:r>
      <w:r w:rsidR="00E54D3F">
        <w:t>in prodaje ter spremembe v načinu</w:t>
      </w:r>
      <w:r w:rsidR="00DC33B8">
        <w:t xml:space="preserve"> dela in organizaciji. Na drugi strani pa so najmanj zastopane vsebine s področja enakih možnosti (12 %), raziskovanja in razvojne politike (6 %), delovnega časa (4 %) in </w:t>
      </w:r>
      <w:r w:rsidR="008653EF">
        <w:t>dru</w:t>
      </w:r>
      <w:r w:rsidR="00DC33B8">
        <w:t>ž</w:t>
      </w:r>
      <w:r w:rsidR="008653EF">
        <w:t>b</w:t>
      </w:r>
      <w:r w:rsidR="00DC33B8">
        <w:t xml:space="preserve">ene odgovornosti (3 %). </w:t>
      </w:r>
    </w:p>
    <w:p w:rsidR="000617F3" w:rsidRDefault="000617F3" w:rsidP="00741026">
      <w:pPr>
        <w:jc w:val="both"/>
      </w:pPr>
    </w:p>
    <w:p w:rsidR="000617F3" w:rsidRDefault="00E54D3F" w:rsidP="00741026">
      <w:pPr>
        <w:jc w:val="both"/>
      </w:pPr>
      <w:r>
        <w:t>Med vsebinami, ki</w:t>
      </w:r>
      <w:r w:rsidR="000617F3">
        <w:t xml:space="preserve"> so </w:t>
      </w:r>
      <w:r w:rsidR="000617F3" w:rsidRPr="00B173C7">
        <w:rPr>
          <w:b/>
        </w:rPr>
        <w:t>izrecno izvzete iz delovanja ESD</w:t>
      </w:r>
      <w:r w:rsidR="000617F3">
        <w:t xml:space="preserve">, so zlasti kolektivna pogajanja (22 %), pravice in obveznosti </w:t>
      </w:r>
      <w:r w:rsidR="0023117F">
        <w:t>menedžmenta</w:t>
      </w:r>
      <w:r w:rsidR="000617F3">
        <w:t xml:space="preserve"> (16 %), plače in nagrajevanje (15 %) ipd. Po drugi strani velja omeniti zelo različno naravo delovanja ESD v različnih državah članicah. Če so nekaterim ESD izrecno izvzete pravice do kolektivnega pogajanja oziroma pogajanja nasploh, so po drugi strani nekaterim ESD dodeljene </w:t>
      </w:r>
      <w:r>
        <w:t xml:space="preserve">ravno </w:t>
      </w:r>
      <w:r w:rsidR="000617F3" w:rsidRPr="00B173C7">
        <w:rPr>
          <w:b/>
        </w:rPr>
        <w:t>pravice pogajanja in sklepanja kolektivnih dogovorov</w:t>
      </w:r>
      <w:r w:rsidRPr="00B173C7">
        <w:rPr>
          <w:b/>
        </w:rPr>
        <w:t xml:space="preserve"> n</w:t>
      </w:r>
      <w:r w:rsidR="000617F3" w:rsidRPr="00B173C7">
        <w:rPr>
          <w:b/>
        </w:rPr>
        <w:t>a transnacionalni ravni</w:t>
      </w:r>
      <w:r w:rsidR="000617F3">
        <w:t xml:space="preserve">. </w:t>
      </w:r>
    </w:p>
    <w:p w:rsidR="002E0ECA" w:rsidRDefault="002E0ECA" w:rsidP="00741026">
      <w:pPr>
        <w:jc w:val="both"/>
      </w:pPr>
    </w:p>
    <w:p w:rsidR="002E0ECA" w:rsidRDefault="002E0ECA" w:rsidP="00741026">
      <w:pPr>
        <w:jc w:val="both"/>
      </w:pPr>
      <w:r>
        <w:t xml:space="preserve">Večina, 70 %, ESD se </w:t>
      </w:r>
      <w:r w:rsidR="008F17D0">
        <w:t>sestaja</w:t>
      </w:r>
      <w:r>
        <w:t xml:space="preserve"> </w:t>
      </w:r>
      <w:r w:rsidRPr="00B173C7">
        <w:rPr>
          <w:b/>
        </w:rPr>
        <w:t>enkrat letno</w:t>
      </w:r>
      <w:r>
        <w:t xml:space="preserve">, slaba </w:t>
      </w:r>
      <w:proofErr w:type="spellStart"/>
      <w:r>
        <w:t>četrina</w:t>
      </w:r>
      <w:proofErr w:type="spellEnd"/>
      <w:r>
        <w:t xml:space="preserve"> pa </w:t>
      </w:r>
      <w:r w:rsidRPr="00B173C7">
        <w:rPr>
          <w:b/>
        </w:rPr>
        <w:t xml:space="preserve">dvakrat </w:t>
      </w:r>
      <w:r w:rsidRPr="00CD4F63">
        <w:rPr>
          <w:b/>
        </w:rPr>
        <w:t>letno</w:t>
      </w:r>
      <w:r>
        <w:t xml:space="preserve">. Za učinkovito delovanje ESD je pomembno, da se le-ta </w:t>
      </w:r>
      <w:r w:rsidR="008F17D0">
        <w:t>sestane</w:t>
      </w:r>
      <w:r>
        <w:t xml:space="preserve"> večkrat, zato se spodbuja pogostejše </w:t>
      </w:r>
      <w:r w:rsidR="00022A55">
        <w:t>sestajanje oziroma vsaj dvakrat letno</w:t>
      </w:r>
      <w:r>
        <w:t>. Zato nekateri ESD poznajo tudi sestanke pred in po zasedanju ESD, da se lažje pripravijo</w:t>
      </w:r>
      <w:r w:rsidR="00830974">
        <w:t>,</w:t>
      </w:r>
      <w:r>
        <w:t xml:space="preserve"> oziroma da se dogovorijo za izvedbo dogovorjenega. Tako ima v 44 % primerov ESD možnost srečanja tako pred in po srečanju, t. </w:t>
      </w:r>
      <w:r w:rsidR="00DB64FC">
        <w:t>i. »</w:t>
      </w:r>
      <w:proofErr w:type="spellStart"/>
      <w:r w:rsidR="00DB64FC">
        <w:t>preparatory</w:t>
      </w:r>
      <w:proofErr w:type="spellEnd"/>
      <w:r w:rsidR="00DB64FC">
        <w:t>« in »</w:t>
      </w:r>
      <w:proofErr w:type="spellStart"/>
      <w:r w:rsidR="00DB64FC">
        <w:t>debriefing</w:t>
      </w:r>
      <w:proofErr w:type="spellEnd"/>
      <w:r>
        <w:t xml:space="preserve"> </w:t>
      </w:r>
      <w:proofErr w:type="spellStart"/>
      <w:r>
        <w:t>meeting</w:t>
      </w:r>
      <w:proofErr w:type="spellEnd"/>
      <w:r w:rsidR="00DB64FC">
        <w:t>«</w:t>
      </w:r>
      <w:r>
        <w:t>. Ena iz</w:t>
      </w:r>
      <w:r w:rsidR="00DB64FC">
        <w:t>med glavnih dolžnosti delavskih predstavnikov</w:t>
      </w:r>
      <w:r>
        <w:t xml:space="preserve"> v ESD je </w:t>
      </w:r>
      <w:r w:rsidRPr="00B173C7">
        <w:rPr>
          <w:b/>
        </w:rPr>
        <w:t>obveščanje zaposlenih</w:t>
      </w:r>
      <w:r>
        <w:t xml:space="preserve">, zato </w:t>
      </w:r>
      <w:r w:rsidR="00456909">
        <w:t xml:space="preserve">71 % ESD pravi, da pri obveščanju naslovijo informacije prek različnih informacijskih kanalov </w:t>
      </w:r>
      <w:r w:rsidR="00DB64FC">
        <w:t xml:space="preserve">na </w:t>
      </w:r>
      <w:r w:rsidR="00456909">
        <w:t xml:space="preserve">vse zaposlene. </w:t>
      </w:r>
    </w:p>
    <w:p w:rsidR="00456909" w:rsidRDefault="00456909" w:rsidP="00741026">
      <w:pPr>
        <w:jc w:val="both"/>
      </w:pPr>
    </w:p>
    <w:p w:rsidR="00456909" w:rsidRDefault="00456909" w:rsidP="00741026">
      <w:pPr>
        <w:jc w:val="both"/>
      </w:pPr>
      <w:r>
        <w:t>Usposobljenost</w:t>
      </w:r>
      <w:r w:rsidR="00E35A5C">
        <w:t xml:space="preserve"> članov ESD je ključna za kakov</w:t>
      </w:r>
      <w:r>
        <w:t>ost</w:t>
      </w:r>
      <w:r w:rsidR="00A242B9">
        <w:t>no</w:t>
      </w:r>
      <w:r>
        <w:t xml:space="preserve"> delovanje ESD, zato si delavski predstavniki vztrajno prizadevajo za </w:t>
      </w:r>
      <w:r w:rsidR="00DB64FC">
        <w:t xml:space="preserve">njihovo </w:t>
      </w:r>
      <w:r>
        <w:t xml:space="preserve">ustrezno usposabljanje. Kljub temu še vedno tretjina dogovorov ESD nima </w:t>
      </w:r>
      <w:r w:rsidRPr="00B173C7">
        <w:rPr>
          <w:b/>
        </w:rPr>
        <w:t>nobenih določil o pravici do usposabljanja</w:t>
      </w:r>
      <w:r>
        <w:t xml:space="preserve">. V drugih dveh tretjinah, ki tovrstno določilo imata, pa so ponekod določene tudi vsebine usposabljanja. To je zlasti značilno za večje družbe in za SE. </w:t>
      </w:r>
    </w:p>
    <w:p w:rsidR="00B173C7" w:rsidRDefault="00B173C7" w:rsidP="00741026">
      <w:pPr>
        <w:jc w:val="both"/>
      </w:pPr>
    </w:p>
    <w:p w:rsidR="00456909" w:rsidRPr="00B173C7" w:rsidRDefault="00456909" w:rsidP="00741026">
      <w:pPr>
        <w:jc w:val="both"/>
        <w:rPr>
          <w:b/>
          <w:i/>
          <w:sz w:val="28"/>
          <w:szCs w:val="28"/>
        </w:rPr>
      </w:pPr>
      <w:r w:rsidRPr="00B173C7">
        <w:rPr>
          <w:b/>
          <w:i/>
          <w:sz w:val="28"/>
          <w:szCs w:val="28"/>
        </w:rPr>
        <w:t>Financiranje ESD</w:t>
      </w:r>
    </w:p>
    <w:p w:rsidR="00B173C7" w:rsidRPr="00AB451F" w:rsidRDefault="00B173C7" w:rsidP="00741026">
      <w:pPr>
        <w:jc w:val="both"/>
        <w:rPr>
          <w:b/>
          <w:i/>
        </w:rPr>
      </w:pPr>
    </w:p>
    <w:p w:rsidR="00456909" w:rsidRDefault="00456909" w:rsidP="00741026">
      <w:pPr>
        <w:jc w:val="both"/>
      </w:pPr>
      <w:r>
        <w:t xml:space="preserve">V 95 % dogovorih </w:t>
      </w:r>
      <w:r w:rsidR="00DB64FC">
        <w:t xml:space="preserve">ESD </w:t>
      </w:r>
      <w:r>
        <w:t xml:space="preserve">je določeno, da so </w:t>
      </w:r>
      <w:r w:rsidRPr="00B173C7">
        <w:rPr>
          <w:b/>
        </w:rPr>
        <w:t>osnovni stroški delovanja kriti</w:t>
      </w:r>
      <w:r>
        <w:t xml:space="preserve">. To običajno vključuje </w:t>
      </w:r>
      <w:r w:rsidR="00DB64FC">
        <w:t>potne stroške</w:t>
      </w:r>
      <w:r>
        <w:t xml:space="preserve">, </w:t>
      </w:r>
      <w:r w:rsidR="00DB64FC">
        <w:t xml:space="preserve">stroške administracije in </w:t>
      </w:r>
      <w:r>
        <w:t>komuni</w:t>
      </w:r>
      <w:r w:rsidR="00DB64FC">
        <w:t>kacije</w:t>
      </w:r>
      <w:r>
        <w:t xml:space="preserve">. V treh četrtinah teh ESD, ki </w:t>
      </w:r>
      <w:r w:rsidR="00924639">
        <w:t xml:space="preserve">imajo </w:t>
      </w:r>
      <w:r>
        <w:t>takšno določilo, je v dogovoru zapisana le splošna določba o kritju stroškov; v če</w:t>
      </w:r>
      <w:r w:rsidR="00DB64FC">
        <w:t xml:space="preserve">trtini teh ESD pa imajo </w:t>
      </w:r>
      <w:r>
        <w:t xml:space="preserve">omejen seznam stroškov, ki jih krije družba. Ravno tako ima 92 % ESD v dogovoru zapisano, da imajo pravico </w:t>
      </w:r>
      <w:r w:rsidR="00B243A9">
        <w:t>najeti zunanjega strokov</w:t>
      </w:r>
      <w:r>
        <w:t xml:space="preserve">njaka. Običajno si ga izberejo delavski predstavniki sami, v nekaterih primerih ga mora potrditi </w:t>
      </w:r>
      <w:r w:rsidR="002F22BB">
        <w:t>menedžment</w:t>
      </w:r>
      <w:r>
        <w:t xml:space="preserve">, redko pa ga izbere sam </w:t>
      </w:r>
      <w:r w:rsidR="002F22BB">
        <w:t>menedžment</w:t>
      </w:r>
      <w:r w:rsidR="00BF651F">
        <w:t>, to je brez sodelovanja</w:t>
      </w:r>
      <w:r w:rsidR="00A41A98">
        <w:t xml:space="preserve"> de</w:t>
      </w:r>
      <w:r>
        <w:t>l</w:t>
      </w:r>
      <w:r w:rsidR="00A41A98">
        <w:t>a</w:t>
      </w:r>
      <w:r>
        <w:t xml:space="preserve">vskih predstavnikov. </w:t>
      </w:r>
    </w:p>
    <w:p w:rsidR="008653EF" w:rsidRPr="008D39C6" w:rsidRDefault="008653EF" w:rsidP="00741026">
      <w:pPr>
        <w:jc w:val="both"/>
      </w:pPr>
    </w:p>
    <w:sectPr w:rsidR="008653EF" w:rsidRPr="008D39C6" w:rsidSect="000A1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EE" w:rsidRDefault="00ED3FEE" w:rsidP="00ED3FEE">
      <w:r>
        <w:separator/>
      </w:r>
    </w:p>
  </w:endnote>
  <w:endnote w:type="continuationSeparator" w:id="0">
    <w:p w:rsidR="00ED3FEE" w:rsidRDefault="00ED3FEE" w:rsidP="00ED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E" w:rsidRDefault="00ED3F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E" w:rsidRDefault="00ED3FE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E" w:rsidRDefault="00ED3F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EE" w:rsidRDefault="00ED3FEE" w:rsidP="00ED3FEE">
      <w:r>
        <w:separator/>
      </w:r>
    </w:p>
  </w:footnote>
  <w:footnote w:type="continuationSeparator" w:id="0">
    <w:p w:rsidR="00ED3FEE" w:rsidRDefault="00ED3FEE" w:rsidP="00ED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E" w:rsidRDefault="00ED3F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E" w:rsidRDefault="00ED3FEE" w:rsidP="00ED3FEE">
    <w:pPr>
      <w:pStyle w:val="Glava"/>
      <w:jc w:val="center"/>
    </w:pPr>
    <w:r>
      <w:rPr>
        <w:i/>
      </w:rPr>
      <w:t xml:space="preserve">Objavljeno v Ekonomski demokraciji, št. </w:t>
    </w:r>
    <w:r>
      <w:rPr>
        <w:i/>
      </w:rPr>
      <w:t>5</w:t>
    </w:r>
    <w:r>
      <w:rPr>
        <w:i/>
      </w:rPr>
      <w:t xml:space="preserve">/2015 (str. </w:t>
    </w:r>
    <w:r>
      <w:rPr>
        <w:i/>
      </w:rPr>
      <w:t xml:space="preserve">15 - </w:t>
    </w:r>
    <w:r>
      <w:rPr>
        <w:i/>
      </w:rPr>
      <w:t>16</w:t>
    </w:r>
    <w:bookmarkStart w:id="0" w:name="_GoBack"/>
    <w:bookmarkEnd w:id="0"/>
    <w:r>
      <w:rPr>
        <w:i/>
      </w:rPr>
      <w:t>). ŠCID. Kranj.</w:t>
    </w:r>
  </w:p>
  <w:p w:rsidR="00ED3FEE" w:rsidRDefault="00ED3F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E" w:rsidRDefault="00ED3FE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D5"/>
    <w:rsid w:val="00022A55"/>
    <w:rsid w:val="00043328"/>
    <w:rsid w:val="000617F3"/>
    <w:rsid w:val="000A1D29"/>
    <w:rsid w:val="000B0310"/>
    <w:rsid w:val="00120AAA"/>
    <w:rsid w:val="001654AA"/>
    <w:rsid w:val="001B1F84"/>
    <w:rsid w:val="0023117F"/>
    <w:rsid w:val="002B76F3"/>
    <w:rsid w:val="002D28FE"/>
    <w:rsid w:val="002E0ECA"/>
    <w:rsid w:val="002F22BB"/>
    <w:rsid w:val="003817B8"/>
    <w:rsid w:val="00456909"/>
    <w:rsid w:val="00457900"/>
    <w:rsid w:val="00486D02"/>
    <w:rsid w:val="004E429D"/>
    <w:rsid w:val="005030E4"/>
    <w:rsid w:val="0057320C"/>
    <w:rsid w:val="006464FC"/>
    <w:rsid w:val="00687F77"/>
    <w:rsid w:val="006E3518"/>
    <w:rsid w:val="00741026"/>
    <w:rsid w:val="007547A8"/>
    <w:rsid w:val="00761E6F"/>
    <w:rsid w:val="007C3DC9"/>
    <w:rsid w:val="007F6EBF"/>
    <w:rsid w:val="00830974"/>
    <w:rsid w:val="008653EF"/>
    <w:rsid w:val="008D39C6"/>
    <w:rsid w:val="008F1386"/>
    <w:rsid w:val="008F17D0"/>
    <w:rsid w:val="00924639"/>
    <w:rsid w:val="009B03A5"/>
    <w:rsid w:val="00A242B9"/>
    <w:rsid w:val="00A41A98"/>
    <w:rsid w:val="00AB451F"/>
    <w:rsid w:val="00B173C7"/>
    <w:rsid w:val="00B243A9"/>
    <w:rsid w:val="00B54F99"/>
    <w:rsid w:val="00B55DCC"/>
    <w:rsid w:val="00BC03AA"/>
    <w:rsid w:val="00BE4707"/>
    <w:rsid w:val="00BF651F"/>
    <w:rsid w:val="00C10A49"/>
    <w:rsid w:val="00C22E28"/>
    <w:rsid w:val="00C55E79"/>
    <w:rsid w:val="00C82261"/>
    <w:rsid w:val="00CD4F63"/>
    <w:rsid w:val="00D06927"/>
    <w:rsid w:val="00D263A8"/>
    <w:rsid w:val="00D479D5"/>
    <w:rsid w:val="00DA1FAD"/>
    <w:rsid w:val="00DB64FC"/>
    <w:rsid w:val="00DC33B8"/>
    <w:rsid w:val="00DE6903"/>
    <w:rsid w:val="00E1186F"/>
    <w:rsid w:val="00E35A5C"/>
    <w:rsid w:val="00E54D3F"/>
    <w:rsid w:val="00ED3FEE"/>
    <w:rsid w:val="00F6558C"/>
    <w:rsid w:val="00F7039D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3F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3FEE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D3FE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3FEE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F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FEE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3F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3FEE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D3FE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3FEE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F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FEE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Franca</dc:creator>
  <cp:lastModifiedBy>Mato</cp:lastModifiedBy>
  <cp:revision>36</cp:revision>
  <dcterms:created xsi:type="dcterms:W3CDTF">2015-10-23T17:48:00Z</dcterms:created>
  <dcterms:modified xsi:type="dcterms:W3CDTF">2016-03-10T16:32:00Z</dcterms:modified>
</cp:coreProperties>
</file>