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2A591" w14:textId="7A6C1087" w:rsidR="00A576A7" w:rsidRPr="00F92607" w:rsidRDefault="00E119A7" w:rsidP="00A576A7">
      <w:pPr>
        <w:jc w:val="center"/>
        <w:rPr>
          <w:sz w:val="22"/>
          <w:szCs w:val="22"/>
        </w:rPr>
      </w:pPr>
      <w:r w:rsidRPr="00F92607">
        <w:rPr>
          <w:b/>
          <w:sz w:val="22"/>
          <w:szCs w:val="22"/>
        </w:rPr>
        <w:t>d</w:t>
      </w:r>
      <w:r w:rsidR="004D6EF2" w:rsidRPr="00F92607">
        <w:rPr>
          <w:b/>
          <w:sz w:val="22"/>
          <w:szCs w:val="22"/>
        </w:rPr>
        <w:t>r. Mato Gostiša</w:t>
      </w:r>
      <w:r w:rsidR="00A576A7" w:rsidRPr="00F92607">
        <w:rPr>
          <w:b/>
          <w:sz w:val="22"/>
          <w:szCs w:val="22"/>
        </w:rPr>
        <w:t xml:space="preserve"> </w:t>
      </w:r>
      <w:bookmarkStart w:id="0" w:name="_GoBack"/>
      <w:bookmarkEnd w:id="0"/>
    </w:p>
    <w:p w14:paraId="48F66DEA" w14:textId="77777777" w:rsidR="00A576A7" w:rsidRPr="00F92607" w:rsidRDefault="00A576A7" w:rsidP="007557B0">
      <w:pPr>
        <w:jc w:val="both"/>
        <w:rPr>
          <w:sz w:val="36"/>
          <w:szCs w:val="36"/>
        </w:rPr>
      </w:pPr>
    </w:p>
    <w:p w14:paraId="30E3735D" w14:textId="77777777" w:rsidR="00FA3C92" w:rsidRPr="00F92607" w:rsidRDefault="00FA3C92" w:rsidP="007557B0">
      <w:pPr>
        <w:jc w:val="both"/>
        <w:rPr>
          <w:b/>
          <w:sz w:val="28"/>
          <w:szCs w:val="28"/>
        </w:rPr>
      </w:pPr>
      <w:r w:rsidRPr="00F92607">
        <w:rPr>
          <w:b/>
          <w:sz w:val="28"/>
          <w:szCs w:val="28"/>
        </w:rPr>
        <w:t>Varstvo delavskih predstavnikov pred odpovedjo</w:t>
      </w:r>
    </w:p>
    <w:p w14:paraId="20CD89F5" w14:textId="77777777" w:rsidR="00624500" w:rsidRPr="00F92607" w:rsidRDefault="00B841A8" w:rsidP="007557B0">
      <w:pPr>
        <w:jc w:val="both"/>
        <w:rPr>
          <w:b/>
          <w:sz w:val="44"/>
          <w:szCs w:val="44"/>
        </w:rPr>
      </w:pPr>
      <w:r w:rsidRPr="00F92607">
        <w:rPr>
          <w:b/>
          <w:sz w:val="44"/>
          <w:szCs w:val="44"/>
        </w:rPr>
        <w:t xml:space="preserve">Konkreten predlog rešitve </w:t>
      </w:r>
      <w:r w:rsidR="00D53E50" w:rsidRPr="00F92607">
        <w:rPr>
          <w:b/>
          <w:sz w:val="44"/>
          <w:szCs w:val="44"/>
        </w:rPr>
        <w:t>za</w:t>
      </w:r>
      <w:r w:rsidR="00624500" w:rsidRPr="00F92607">
        <w:rPr>
          <w:b/>
          <w:sz w:val="44"/>
          <w:szCs w:val="44"/>
        </w:rPr>
        <w:t xml:space="preserve"> razmislek</w:t>
      </w:r>
    </w:p>
    <w:p w14:paraId="08324750" w14:textId="77777777" w:rsidR="00624500" w:rsidRPr="00F92607" w:rsidRDefault="00624500" w:rsidP="007557B0">
      <w:pPr>
        <w:jc w:val="both"/>
        <w:rPr>
          <w:i/>
          <w:sz w:val="28"/>
          <w:szCs w:val="28"/>
        </w:rPr>
      </w:pPr>
    </w:p>
    <w:p w14:paraId="0BE66A3C" w14:textId="77777777" w:rsidR="00FC490B" w:rsidRPr="00F92607" w:rsidRDefault="00FC490B" w:rsidP="00FC490B">
      <w:pPr>
        <w:jc w:val="both"/>
        <w:rPr>
          <w:i/>
          <w:sz w:val="28"/>
          <w:szCs w:val="28"/>
        </w:rPr>
      </w:pPr>
      <w:r w:rsidRPr="00F92607">
        <w:rPr>
          <w:i/>
          <w:sz w:val="28"/>
          <w:szCs w:val="28"/>
        </w:rPr>
        <w:t>Združenje svetov delavcev Slovenije (ZSDS) je glede reševanja problema učinkovitega varstva delavskih predstavnikov že pred časom oblikovalo obširno utemeljen predlog za sprejem avtentične razlage 85. in 112. člena Zakona o delovnih razmerjih (ZDR-1), ki naj bi jo sprejel Državni zbor, in katerega utemeljitev je bila med drugim že objavljen</w:t>
      </w:r>
      <w:r w:rsidR="0035245B" w:rsidRPr="00F92607">
        <w:rPr>
          <w:i/>
          <w:sz w:val="28"/>
          <w:szCs w:val="28"/>
        </w:rPr>
        <w:t>a</w:t>
      </w:r>
      <w:r w:rsidRPr="00F92607">
        <w:rPr>
          <w:i/>
          <w:sz w:val="28"/>
          <w:szCs w:val="28"/>
        </w:rPr>
        <w:t xml:space="preserve"> tudi v tej reviji (ED, št. 5/2018). </w:t>
      </w:r>
      <w:r w:rsidR="0062467D" w:rsidRPr="00F92607">
        <w:rPr>
          <w:i/>
          <w:sz w:val="28"/>
          <w:szCs w:val="28"/>
        </w:rPr>
        <w:t xml:space="preserve">Gostota teh primerov </w:t>
      </w:r>
      <w:r w:rsidR="00856FBF" w:rsidRPr="00F92607">
        <w:rPr>
          <w:i/>
          <w:sz w:val="28"/>
          <w:szCs w:val="28"/>
        </w:rPr>
        <w:t xml:space="preserve">namreč </w:t>
      </w:r>
      <w:r w:rsidR="0062467D" w:rsidRPr="00F92607">
        <w:rPr>
          <w:i/>
          <w:sz w:val="28"/>
          <w:szCs w:val="28"/>
        </w:rPr>
        <w:t>v zadnjem času kaže že vse znake »organiziranega pogroma« delodajalcev na</w:t>
      </w:r>
      <w:r w:rsidR="0035245B" w:rsidRPr="00F92607">
        <w:rPr>
          <w:i/>
          <w:sz w:val="28"/>
          <w:szCs w:val="28"/>
        </w:rPr>
        <w:t>d</w:t>
      </w:r>
      <w:r w:rsidR="0062467D" w:rsidRPr="00F92607">
        <w:rPr>
          <w:i/>
          <w:sz w:val="28"/>
          <w:szCs w:val="28"/>
        </w:rPr>
        <w:t xml:space="preserve"> delavskimi predstavniki v podjetjih. </w:t>
      </w:r>
      <w:r w:rsidRPr="00F92607">
        <w:rPr>
          <w:i/>
          <w:sz w:val="28"/>
          <w:szCs w:val="28"/>
        </w:rPr>
        <w:t xml:space="preserve">Naj v nadaljevanju povzamemo le ključne poudarke iz tega predloga in jim dodamo še nekaj </w:t>
      </w:r>
      <w:r w:rsidR="0035245B" w:rsidRPr="00F92607">
        <w:rPr>
          <w:i/>
          <w:sz w:val="28"/>
          <w:szCs w:val="28"/>
        </w:rPr>
        <w:t>dod</w:t>
      </w:r>
      <w:r w:rsidR="00A8558A" w:rsidRPr="00F92607">
        <w:rPr>
          <w:i/>
          <w:sz w:val="28"/>
          <w:szCs w:val="28"/>
        </w:rPr>
        <w:t>a</w:t>
      </w:r>
      <w:r w:rsidR="0035245B" w:rsidRPr="00F92607">
        <w:rPr>
          <w:i/>
          <w:sz w:val="28"/>
          <w:szCs w:val="28"/>
        </w:rPr>
        <w:t>tnih</w:t>
      </w:r>
      <w:r w:rsidR="00AC698A" w:rsidRPr="00F92607">
        <w:rPr>
          <w:i/>
          <w:sz w:val="28"/>
          <w:szCs w:val="28"/>
        </w:rPr>
        <w:t xml:space="preserve"> </w:t>
      </w:r>
      <w:r w:rsidRPr="00F92607">
        <w:rPr>
          <w:i/>
          <w:sz w:val="28"/>
          <w:szCs w:val="28"/>
        </w:rPr>
        <w:t>s tem povezanih misli</w:t>
      </w:r>
      <w:r w:rsidR="00A576A7" w:rsidRPr="00F92607">
        <w:rPr>
          <w:i/>
          <w:sz w:val="28"/>
          <w:szCs w:val="28"/>
        </w:rPr>
        <w:t>.</w:t>
      </w:r>
      <w:r w:rsidRPr="00F92607">
        <w:rPr>
          <w:i/>
          <w:sz w:val="28"/>
          <w:szCs w:val="28"/>
        </w:rPr>
        <w:t xml:space="preserve"> </w:t>
      </w:r>
    </w:p>
    <w:p w14:paraId="21862CAE" w14:textId="77777777" w:rsidR="00624500" w:rsidRPr="00F92607" w:rsidRDefault="00624500" w:rsidP="007557B0">
      <w:pPr>
        <w:jc w:val="both"/>
      </w:pPr>
    </w:p>
    <w:p w14:paraId="336CE17C" w14:textId="77777777" w:rsidR="00FC490B" w:rsidRPr="00F92607" w:rsidRDefault="00FC490B" w:rsidP="007557B0">
      <w:pPr>
        <w:jc w:val="both"/>
        <w:rPr>
          <w:b/>
        </w:rPr>
      </w:pPr>
      <w:r w:rsidRPr="00F92607">
        <w:rPr>
          <w:b/>
        </w:rPr>
        <w:t>Ukrepa lahko samo Državni zbor</w:t>
      </w:r>
    </w:p>
    <w:p w14:paraId="73131674" w14:textId="77777777" w:rsidR="00FC490B" w:rsidRPr="00F92607" w:rsidRDefault="00FC490B" w:rsidP="007557B0">
      <w:pPr>
        <w:jc w:val="both"/>
      </w:pPr>
    </w:p>
    <w:p w14:paraId="3E515A20" w14:textId="77777777" w:rsidR="00FC490B" w:rsidRPr="00F92607" w:rsidRDefault="00FC490B" w:rsidP="007557B0">
      <w:pPr>
        <w:jc w:val="both"/>
      </w:pPr>
      <w:r w:rsidRPr="00F92607">
        <w:t>Varstvo delavskih predstavnikov je</w:t>
      </w:r>
      <w:r w:rsidR="007557B0" w:rsidRPr="00F92607">
        <w:t xml:space="preserve"> </w:t>
      </w:r>
      <w:r w:rsidR="007557B0" w:rsidRPr="00F92607">
        <w:rPr>
          <w:b/>
        </w:rPr>
        <w:t>izjemno resen sistemski problem</w:t>
      </w:r>
      <w:r w:rsidR="007557B0" w:rsidRPr="00F92607">
        <w:t>, ki</w:t>
      </w:r>
      <w:r w:rsidRPr="00F92607">
        <w:t xml:space="preserve"> brez dvoma</w:t>
      </w:r>
      <w:r w:rsidR="007557B0" w:rsidRPr="00F92607">
        <w:t xml:space="preserve"> zahteva takojšnje učinkovito ukrepanje. Ukrepa pa seveda </w:t>
      </w:r>
      <w:r w:rsidR="003D3935" w:rsidRPr="00F92607">
        <w:t xml:space="preserve">lahko v tem smislu </w:t>
      </w:r>
      <w:r w:rsidR="007B642B">
        <w:t>–</w:t>
      </w:r>
      <w:r w:rsidR="003D3935" w:rsidRPr="00F92607">
        <w:t xml:space="preserve"> ker gre pač za vprašanje zagotavljanja ustreznega uresničevanja zakonodaje, ki jo je sam sprejel </w:t>
      </w:r>
      <w:r w:rsidR="007B642B">
        <w:t>–</w:t>
      </w:r>
      <w:r w:rsidR="007557B0" w:rsidRPr="00F92607">
        <w:t xml:space="preserve"> </w:t>
      </w:r>
      <w:r w:rsidR="003A75ED" w:rsidRPr="00F92607">
        <w:rPr>
          <w:b/>
        </w:rPr>
        <w:t xml:space="preserve">izključno </w:t>
      </w:r>
      <w:r w:rsidR="00856FBF" w:rsidRPr="00F92607">
        <w:rPr>
          <w:b/>
        </w:rPr>
        <w:t>le</w:t>
      </w:r>
      <w:r w:rsidR="007557B0" w:rsidRPr="00F92607">
        <w:rPr>
          <w:b/>
        </w:rPr>
        <w:t xml:space="preserve"> Državni zbor</w:t>
      </w:r>
      <w:r w:rsidR="00433D1D" w:rsidRPr="00F92607">
        <w:rPr>
          <w:b/>
        </w:rPr>
        <w:t xml:space="preserve"> (DZ)</w:t>
      </w:r>
      <w:r w:rsidR="007557B0" w:rsidRPr="00F92607">
        <w:t xml:space="preserve">. </w:t>
      </w:r>
      <w:r w:rsidRPr="00F92607">
        <w:t>Možnosti pa sta v bistvu samo dve, in sicer:</w:t>
      </w:r>
    </w:p>
    <w:p w14:paraId="51FB4C60" w14:textId="77777777" w:rsidR="00FC490B" w:rsidRPr="00F92607" w:rsidRDefault="00FC490B" w:rsidP="00743C4A">
      <w:pPr>
        <w:pStyle w:val="Odstavekseznama"/>
        <w:numPr>
          <w:ilvl w:val="0"/>
          <w:numId w:val="7"/>
        </w:numPr>
        <w:jc w:val="both"/>
      </w:pPr>
      <w:r w:rsidRPr="00F92607">
        <w:t>sprememba veljavne zakonodaje, ali pa</w:t>
      </w:r>
    </w:p>
    <w:p w14:paraId="30ADD50B" w14:textId="77777777" w:rsidR="00743C4A" w:rsidRPr="00F92607" w:rsidRDefault="00743C4A" w:rsidP="00743C4A">
      <w:pPr>
        <w:pStyle w:val="Odstavekseznama"/>
        <w:numPr>
          <w:ilvl w:val="0"/>
          <w:numId w:val="7"/>
        </w:numPr>
        <w:jc w:val="both"/>
      </w:pPr>
      <w:r w:rsidRPr="00F92607">
        <w:t xml:space="preserve">sprejem njene </w:t>
      </w:r>
      <w:r w:rsidR="0097347F" w:rsidRPr="00F92607">
        <w:t xml:space="preserve">ustrezne </w:t>
      </w:r>
      <w:r w:rsidRPr="00F92607">
        <w:t>avtentične razlage.</w:t>
      </w:r>
    </w:p>
    <w:p w14:paraId="17D2DC7E" w14:textId="77777777" w:rsidR="00795D9C" w:rsidRPr="00F92607" w:rsidRDefault="00795D9C" w:rsidP="00795D9C">
      <w:pPr>
        <w:jc w:val="both"/>
        <w:rPr>
          <w:b/>
        </w:rPr>
      </w:pPr>
      <w:r w:rsidRPr="00F92607">
        <w:t xml:space="preserve">ZSDS </w:t>
      </w:r>
      <w:r w:rsidR="00DD5A4B" w:rsidRPr="00F92607">
        <w:t>ocenjuje</w:t>
      </w:r>
      <w:r w:rsidRPr="00F92607">
        <w:t xml:space="preserve">, da bi </w:t>
      </w:r>
      <w:r w:rsidR="00DD5A4B" w:rsidRPr="00F92607">
        <w:t>bila</w:t>
      </w:r>
      <w:r w:rsidRPr="00F92607">
        <w:t xml:space="preserve"> drugonavedena rešitev brez dvoma v vseh pogledih bistveno </w:t>
      </w:r>
      <w:r w:rsidRPr="00F92607">
        <w:rPr>
          <w:b/>
        </w:rPr>
        <w:t>lažja in hitrejša, obenem pa praktično povsem enako učinkovita</w:t>
      </w:r>
      <w:r w:rsidRPr="00F92607">
        <w:t xml:space="preserve"> kot morebitno </w:t>
      </w:r>
      <w:r w:rsidR="00E263EE" w:rsidRPr="00F92607">
        <w:t>tovrstno »</w:t>
      </w:r>
      <w:r w:rsidRPr="00F92607">
        <w:t>separatno</w:t>
      </w:r>
      <w:r w:rsidR="00E263EE" w:rsidRPr="00F92607">
        <w:t>«</w:t>
      </w:r>
      <w:r w:rsidRPr="00F92607">
        <w:t xml:space="preserve"> pos</w:t>
      </w:r>
      <w:r w:rsidR="00E263EE" w:rsidRPr="00F92607">
        <w:t>eganje v veljavno zakonodajo (</w:t>
      </w:r>
      <w:r w:rsidRPr="00F92607">
        <w:t xml:space="preserve">bodisi v ZDR-1, bodisi v ZSDU ali pa v katerikoli drug veljavni zakon), kar bi bilo </w:t>
      </w:r>
      <w:r w:rsidR="00DD5A4B" w:rsidRPr="00F92607">
        <w:t xml:space="preserve">zaradi številnih objektivnih razlogov </w:t>
      </w:r>
      <w:r w:rsidRPr="00F92607">
        <w:t>v danem trenutku verjetno lahko prej škodljivo kot pa koristno.</w:t>
      </w:r>
      <w:r w:rsidR="00817259" w:rsidRPr="00F92607">
        <w:t xml:space="preserve"> Avtentična razlaga je </w:t>
      </w:r>
      <w:r w:rsidR="00817259" w:rsidRPr="00F92607">
        <w:rPr>
          <w:b/>
        </w:rPr>
        <w:t>zavezujoča, enako kot zakon sam.</w:t>
      </w:r>
    </w:p>
    <w:p w14:paraId="0F618AEB" w14:textId="77777777" w:rsidR="00FC490B" w:rsidRPr="00F92607" w:rsidRDefault="00FC490B" w:rsidP="007557B0">
      <w:pPr>
        <w:jc w:val="both"/>
      </w:pPr>
    </w:p>
    <w:p w14:paraId="2C1B153E" w14:textId="77777777" w:rsidR="00A06E5E" w:rsidRPr="00F92607" w:rsidRDefault="00433D1D" w:rsidP="005F2028">
      <w:pPr>
        <w:jc w:val="both"/>
      </w:pPr>
      <w:r w:rsidRPr="00F92607">
        <w:t>ZSDS</w:t>
      </w:r>
      <w:r w:rsidR="005F2028" w:rsidRPr="00F92607">
        <w:t xml:space="preserve"> namreč </w:t>
      </w:r>
      <w:r w:rsidR="007B642B">
        <w:t>–</w:t>
      </w:r>
      <w:r w:rsidR="005F2028" w:rsidRPr="00F92607">
        <w:t xml:space="preserve"> kljub </w:t>
      </w:r>
      <w:r w:rsidRPr="00F92607">
        <w:t>dosedanjemu</w:t>
      </w:r>
      <w:r w:rsidR="005D74F5" w:rsidRPr="00F92607">
        <w:t xml:space="preserve"> </w:t>
      </w:r>
      <w:r w:rsidR="005F2028" w:rsidRPr="00F92607">
        <w:t>drugačnemu stališču Zakonodajno</w:t>
      </w:r>
      <w:r w:rsidRPr="00F92607">
        <w:t>-</w:t>
      </w:r>
      <w:r w:rsidR="005F2028" w:rsidRPr="00F92607">
        <w:t>pravne službe DZ</w:t>
      </w:r>
      <w:r w:rsidR="00A002E0" w:rsidRPr="00F92607">
        <w:t xml:space="preserve"> </w:t>
      </w:r>
      <w:r w:rsidR="007B642B">
        <w:t xml:space="preserve">– </w:t>
      </w:r>
      <w:r w:rsidR="00A06E5E" w:rsidRPr="00F92607">
        <w:t>meni</w:t>
      </w:r>
      <w:r w:rsidR="005F2028" w:rsidRPr="00F92607">
        <w:t xml:space="preserve">, da </w:t>
      </w:r>
      <w:r w:rsidR="005F57AB" w:rsidRPr="00F92607">
        <w:t>je</w:t>
      </w:r>
      <w:r w:rsidR="005F2028" w:rsidRPr="00F92607">
        <w:t xml:space="preserve"> takšna razlaga</w:t>
      </w:r>
      <w:r w:rsidR="0080562A" w:rsidRPr="00F92607">
        <w:t xml:space="preserve"> vsekakor</w:t>
      </w:r>
      <w:r w:rsidR="00097FF8" w:rsidRPr="00F92607">
        <w:t xml:space="preserve"> možna, </w:t>
      </w:r>
      <w:r w:rsidR="00A002E0" w:rsidRPr="00F92607">
        <w:t xml:space="preserve">in sicer, </w:t>
      </w:r>
      <w:r w:rsidR="00097FF8" w:rsidRPr="00F92607">
        <w:t>ne da bi to pomenil</w:t>
      </w:r>
      <w:r w:rsidR="00C55CF3" w:rsidRPr="00F92607">
        <w:t>o</w:t>
      </w:r>
      <w:r w:rsidR="00097FF8" w:rsidRPr="00F92607">
        <w:t xml:space="preserve"> kakršnokoli </w:t>
      </w:r>
      <w:proofErr w:type="spellStart"/>
      <w:r w:rsidR="00097FF8" w:rsidRPr="00F92607">
        <w:rPr>
          <w:b/>
        </w:rPr>
        <w:t>interpretacijsko</w:t>
      </w:r>
      <w:proofErr w:type="spellEnd"/>
      <w:r w:rsidR="00097FF8" w:rsidRPr="00F92607">
        <w:rPr>
          <w:b/>
        </w:rPr>
        <w:t xml:space="preserve"> nasilje nad zakonom</w:t>
      </w:r>
      <w:r w:rsidR="00097FF8" w:rsidRPr="00F92607">
        <w:t>.</w:t>
      </w:r>
      <w:r w:rsidR="005F2028" w:rsidRPr="00F92607">
        <w:t xml:space="preserve"> </w:t>
      </w:r>
      <w:r w:rsidR="00A06E5E" w:rsidRPr="00F92607">
        <w:t>Vsebina in kratka utemeljitev tega predloga pa je podana v nadaljevanju.</w:t>
      </w:r>
    </w:p>
    <w:p w14:paraId="260AA405" w14:textId="77777777" w:rsidR="00A06E5E" w:rsidRPr="00F92607" w:rsidRDefault="00A06E5E" w:rsidP="005F2028">
      <w:pPr>
        <w:jc w:val="both"/>
      </w:pPr>
    </w:p>
    <w:p w14:paraId="01432C03" w14:textId="77777777" w:rsidR="005F2028" w:rsidRPr="00F92607" w:rsidRDefault="00A06E5E" w:rsidP="005F2028">
      <w:pPr>
        <w:jc w:val="both"/>
        <w:rPr>
          <w:b/>
        </w:rPr>
      </w:pPr>
      <w:r w:rsidRPr="00F92607">
        <w:rPr>
          <w:b/>
        </w:rPr>
        <w:t>Razmerje med mednarodnimi konvencijami in domačim</w:t>
      </w:r>
      <w:r w:rsidR="007677BF" w:rsidRPr="00F92607">
        <w:rPr>
          <w:b/>
        </w:rPr>
        <w:t xml:space="preserve"> </w:t>
      </w:r>
      <w:r w:rsidR="00856FBF" w:rsidRPr="00F92607">
        <w:rPr>
          <w:b/>
        </w:rPr>
        <w:t>pravom</w:t>
      </w:r>
      <w:r w:rsidR="007B642B">
        <w:rPr>
          <w:b/>
        </w:rPr>
        <w:t xml:space="preserve"> </w:t>
      </w:r>
    </w:p>
    <w:p w14:paraId="08FC1A8D" w14:textId="77777777" w:rsidR="00097FF8" w:rsidRPr="00F92607" w:rsidRDefault="00097FF8" w:rsidP="005F2028">
      <w:pPr>
        <w:jc w:val="both"/>
      </w:pPr>
    </w:p>
    <w:p w14:paraId="4A935430" w14:textId="77777777" w:rsidR="00097FF8" w:rsidRPr="00F92607" w:rsidRDefault="00A06E5E" w:rsidP="00824A4D">
      <w:pPr>
        <w:jc w:val="both"/>
      </w:pPr>
      <w:r w:rsidRPr="00F92607">
        <w:t>N</w:t>
      </w:r>
      <w:r w:rsidR="00A978F5" w:rsidRPr="00F92607">
        <w:t>esporno dejstvo</w:t>
      </w:r>
      <w:r w:rsidR="00747BC6" w:rsidRPr="00F92607">
        <w:t>, ki ga</w:t>
      </w:r>
      <w:r w:rsidR="0091114C" w:rsidRPr="00F92607">
        <w:t xml:space="preserve"> v teh razpravah preprosto ni mogoče prezreti, je, </w:t>
      </w:r>
      <w:r w:rsidR="00A978F5" w:rsidRPr="00F92607">
        <w:t>da so ratificirane mednarodne konvencije</w:t>
      </w:r>
      <w:r w:rsidR="002470C1" w:rsidRPr="00F92607">
        <w:t xml:space="preserve"> avtomatično </w:t>
      </w:r>
      <w:r w:rsidR="00294232" w:rsidRPr="00F92607">
        <w:rPr>
          <w:b/>
        </w:rPr>
        <w:t xml:space="preserve">sestavni </w:t>
      </w:r>
      <w:r w:rsidR="00A978F5" w:rsidRPr="00F92607">
        <w:rPr>
          <w:b/>
        </w:rPr>
        <w:t xml:space="preserve">del slovenskega </w:t>
      </w:r>
      <w:r w:rsidR="00824A4D" w:rsidRPr="00F92607">
        <w:rPr>
          <w:b/>
        </w:rPr>
        <w:t>notranjega prav</w:t>
      </w:r>
      <w:r w:rsidR="0091114C" w:rsidRPr="00F92607">
        <w:rPr>
          <w:b/>
        </w:rPr>
        <w:t>nega reda</w:t>
      </w:r>
      <w:r w:rsidR="00A978F5" w:rsidRPr="00F92607">
        <w:t xml:space="preserve">, </w:t>
      </w:r>
      <w:r w:rsidR="00824A4D" w:rsidRPr="00F92607">
        <w:t>kar pomeni, da:</w:t>
      </w:r>
    </w:p>
    <w:p w14:paraId="111186ED" w14:textId="77777777" w:rsidR="00824A4D" w:rsidRPr="00F92607" w:rsidRDefault="00824A4D" w:rsidP="00824A4D">
      <w:pPr>
        <w:pStyle w:val="Odstavekseznama"/>
        <w:numPr>
          <w:ilvl w:val="0"/>
          <w:numId w:val="1"/>
        </w:numPr>
        <w:jc w:val="both"/>
      </w:pPr>
      <w:r w:rsidRPr="00F92607">
        <w:t xml:space="preserve">se lahko njihova določila uporabljajo </w:t>
      </w:r>
      <w:r w:rsidRPr="00F92607">
        <w:rPr>
          <w:b/>
          <w:i/>
        </w:rPr>
        <w:t>neposredno</w:t>
      </w:r>
      <w:r w:rsidR="0091114C" w:rsidRPr="00F92607">
        <w:rPr>
          <w:b/>
        </w:rPr>
        <w:t>,</w:t>
      </w:r>
      <w:r w:rsidRPr="00F92607">
        <w:t xml:space="preserve"> enako kot določila domačih zakonov, in sicer </w:t>
      </w:r>
      <w:r w:rsidR="007B642B">
        <w:t>–</w:t>
      </w:r>
      <w:r w:rsidRPr="00F92607">
        <w:t xml:space="preserve"> kar je </w:t>
      </w:r>
      <w:r w:rsidR="005F19AA" w:rsidRPr="00F92607">
        <w:t xml:space="preserve">pri celi stvari </w:t>
      </w:r>
      <w:r w:rsidRPr="00F92607">
        <w:t xml:space="preserve">še </w:t>
      </w:r>
      <w:r w:rsidR="00296D9D" w:rsidRPr="00F92607">
        <w:t>posebej</w:t>
      </w:r>
      <w:r w:rsidR="005F19AA" w:rsidRPr="00F92607">
        <w:t xml:space="preserve"> pomembno</w:t>
      </w:r>
      <w:r w:rsidRPr="00F92607">
        <w:t xml:space="preserve"> </w:t>
      </w:r>
      <w:r w:rsidR="007B642B">
        <w:t>–</w:t>
      </w:r>
      <w:r w:rsidRPr="00F92607">
        <w:t xml:space="preserve"> ne da bi bile </w:t>
      </w:r>
      <w:r w:rsidRPr="00F92607">
        <w:rPr>
          <w:b/>
          <w:i/>
        </w:rPr>
        <w:t>pretočene v domačo</w:t>
      </w:r>
      <w:r w:rsidRPr="00F92607">
        <w:rPr>
          <w:i/>
        </w:rPr>
        <w:t xml:space="preserve"> </w:t>
      </w:r>
      <w:r w:rsidRPr="00F92607">
        <w:rPr>
          <w:b/>
          <w:i/>
        </w:rPr>
        <w:t>zakonodajo</w:t>
      </w:r>
      <w:r w:rsidRPr="00F92607">
        <w:t xml:space="preserve">, </w:t>
      </w:r>
    </w:p>
    <w:p w14:paraId="6871E6D8" w14:textId="77777777" w:rsidR="00824A4D" w:rsidRPr="00F92607" w:rsidRDefault="005F19AA" w:rsidP="00824A4D">
      <w:pPr>
        <w:pStyle w:val="Odstavekseznama"/>
        <w:numPr>
          <w:ilvl w:val="0"/>
          <w:numId w:val="1"/>
        </w:numPr>
        <w:jc w:val="both"/>
      </w:pPr>
      <w:r w:rsidRPr="00F92607">
        <w:t xml:space="preserve">in da </w:t>
      </w:r>
      <w:r w:rsidR="00824A4D" w:rsidRPr="00F92607">
        <w:t>imajo</w:t>
      </w:r>
      <w:r w:rsidR="00146EB6" w:rsidRPr="00F92607">
        <w:t xml:space="preserve"> pri tem</w:t>
      </w:r>
      <w:r w:rsidR="00824A4D" w:rsidRPr="00F92607">
        <w:t xml:space="preserve"> </w:t>
      </w:r>
      <w:r w:rsidR="00824A4D" w:rsidRPr="00F92607">
        <w:rPr>
          <w:b/>
          <w:i/>
        </w:rPr>
        <w:t>celo</w:t>
      </w:r>
      <w:r w:rsidR="00824A4D" w:rsidRPr="00F92607">
        <w:rPr>
          <w:i/>
        </w:rPr>
        <w:t xml:space="preserve"> </w:t>
      </w:r>
      <w:r w:rsidR="00824A4D" w:rsidRPr="00F92607">
        <w:rPr>
          <w:b/>
          <w:i/>
        </w:rPr>
        <w:t>prednost</w:t>
      </w:r>
      <w:r w:rsidR="00824A4D" w:rsidRPr="00F92607">
        <w:rPr>
          <w:b/>
        </w:rPr>
        <w:t xml:space="preserve"> </w:t>
      </w:r>
      <w:r w:rsidR="00824A4D" w:rsidRPr="00F92607">
        <w:t>pred domačo zakonodajo.</w:t>
      </w:r>
    </w:p>
    <w:p w14:paraId="74B1E7DF" w14:textId="77777777" w:rsidR="0091114C" w:rsidRPr="00F92607" w:rsidRDefault="0091114C" w:rsidP="00824A4D">
      <w:pPr>
        <w:jc w:val="both"/>
      </w:pPr>
    </w:p>
    <w:p w14:paraId="68195C6E" w14:textId="77777777" w:rsidR="00294232" w:rsidRPr="00A5017B" w:rsidRDefault="0091114C" w:rsidP="00294232">
      <w:pPr>
        <w:jc w:val="both"/>
      </w:pPr>
      <w:r w:rsidRPr="00F92607">
        <w:t>N</w:t>
      </w:r>
      <w:r w:rsidR="00824A4D" w:rsidRPr="00F92607">
        <w:rPr>
          <w:b/>
        </w:rPr>
        <w:t xml:space="preserve">ačelno </w:t>
      </w:r>
      <w:r w:rsidR="00294232" w:rsidRPr="00F92607">
        <w:rPr>
          <w:b/>
        </w:rPr>
        <w:t>pravno mnenje V</w:t>
      </w:r>
      <w:r w:rsidR="00824A4D" w:rsidRPr="00F92607">
        <w:rPr>
          <w:b/>
        </w:rPr>
        <w:t>rhovnega sodišča</w:t>
      </w:r>
      <w:r w:rsidR="00294232" w:rsidRPr="00F92607">
        <w:rPr>
          <w:b/>
        </w:rPr>
        <w:t xml:space="preserve"> RS</w:t>
      </w:r>
      <w:r w:rsidR="00294232" w:rsidRPr="00F92607">
        <w:rPr>
          <w:szCs w:val="22"/>
        </w:rPr>
        <w:t xml:space="preserve"> (VSO34457), sprejeto na občni seji VSS dne 15. 12. 1998, je glede tega popolnoma</w:t>
      </w:r>
      <w:r w:rsidR="00294232" w:rsidRPr="00F92607">
        <w:rPr>
          <w:b/>
          <w:szCs w:val="22"/>
        </w:rPr>
        <w:t xml:space="preserve"> </w:t>
      </w:r>
      <w:r w:rsidR="00294232" w:rsidRPr="00F92607">
        <w:rPr>
          <w:szCs w:val="22"/>
        </w:rPr>
        <w:t xml:space="preserve">jasno in nedvoumno: </w:t>
      </w:r>
      <w:r w:rsidR="00294232" w:rsidRPr="00F92607">
        <w:rPr>
          <w:i/>
          <w:szCs w:val="22"/>
        </w:rPr>
        <w:t>»</w:t>
      </w:r>
      <w:r w:rsidR="00294232" w:rsidRPr="00F92607">
        <w:rPr>
          <w:i/>
        </w:rPr>
        <w:t xml:space="preserve">Res je zapisano v drugem </w:t>
      </w:r>
      <w:r w:rsidR="00294232" w:rsidRPr="00F92607">
        <w:rPr>
          <w:i/>
        </w:rPr>
        <w:lastRenderedPageBreak/>
        <w:t>stavku 8. člena Ustave RS, da se ratificirane in objavljene mednarodne pogodbe uporabljajo neposredno, kar pomeni, da se lahko sodišča ob uporabi njihovih določb neposredno sklicujejo nanje kot na določila domačih zakonov, in kar je še pomembnejše, uporabijo jih, ne da bi bile pretočene v domačo zakonodajo. To pomeni, da so del notranjega prava, pri čemer imajo celo prednost pred zakoni. Ne pomeni pa tega, da sodnik ne sme uporabiti načel mednarodnega prava. Ko Ustava terja skladnost zakonov s splošno veljavnimi načeli mednarodnega prava (drugi odstavek 153. člena URS) in daje s tem tudi prednost načelom pred zakoni, je očitno, da se ob sojenju uporabljajo ta načela. Pravkar opisano je dobilo svoj odsev v zakonski določbi, da je sodnik v skladu z ustavo vezan tudi na splošna načela mednarodnega prava. Ustava torej ne le, da ne prepoveduje uporabe načel mednarodnega prava, marveč, prav terja njihovo uporabo. Tako so načela mednarodnega prava del našega notranjega prava (razen, če niso v nasprotju z našim pravnim redom, se pravi ustavo).«</w:t>
      </w:r>
    </w:p>
    <w:p w14:paraId="2FFBE312" w14:textId="77777777" w:rsidR="00887A7C" w:rsidRPr="00F92607" w:rsidRDefault="00887A7C" w:rsidP="00824A4D">
      <w:pPr>
        <w:jc w:val="both"/>
      </w:pPr>
    </w:p>
    <w:p w14:paraId="731AF143" w14:textId="77777777" w:rsidR="00A5017B" w:rsidRPr="0067630E" w:rsidRDefault="00A5017B" w:rsidP="00824A4D">
      <w:pPr>
        <w:jc w:val="both"/>
      </w:pPr>
      <w:r w:rsidRPr="0067630E">
        <w:t xml:space="preserve">Če je tako, kot pravi Vrhovno sodišče RS, in brez dvoma je, pomeni, da imamo v danem trenutku v zvezi z obravnavanim vprašanjem v bistvu opravka s pravno situacijo, ko sta </w:t>
      </w:r>
      <w:r w:rsidRPr="0067630E">
        <w:rPr>
          <w:b/>
        </w:rPr>
        <w:t xml:space="preserve">med seboj neusklajeni dve določbi domače zakonodaje, </w:t>
      </w:r>
      <w:r w:rsidRPr="0067630E">
        <w:t>ne določbi domače in mednarodne.</w:t>
      </w:r>
    </w:p>
    <w:p w14:paraId="7083A781" w14:textId="77777777" w:rsidR="00A5017B" w:rsidRPr="0067630E" w:rsidRDefault="00A5017B" w:rsidP="00824A4D">
      <w:pPr>
        <w:jc w:val="both"/>
      </w:pPr>
    </w:p>
    <w:p w14:paraId="6D42EDB9" w14:textId="6BA693DE" w:rsidR="00706CB2" w:rsidRPr="0067630E" w:rsidRDefault="005B737A" w:rsidP="00824A4D">
      <w:pPr>
        <w:jc w:val="both"/>
        <w:rPr>
          <w:b/>
        </w:rPr>
      </w:pPr>
      <w:r w:rsidRPr="0067630E">
        <w:rPr>
          <w:b/>
        </w:rPr>
        <w:t>P</w:t>
      </w:r>
      <w:r w:rsidR="00706CB2" w:rsidRPr="0067630E">
        <w:rPr>
          <w:b/>
        </w:rPr>
        <w:t xml:space="preserve">ravno </w:t>
      </w:r>
      <w:r w:rsidR="00C4383C" w:rsidRPr="0067630E">
        <w:rPr>
          <w:b/>
        </w:rPr>
        <w:t xml:space="preserve">(edino) </w:t>
      </w:r>
      <w:r w:rsidR="00706CB2" w:rsidRPr="0067630E">
        <w:rPr>
          <w:b/>
        </w:rPr>
        <w:t>logična interpretacija 112. člena ZDR-1</w:t>
      </w:r>
      <w:r w:rsidRPr="0067630E">
        <w:rPr>
          <w:b/>
        </w:rPr>
        <w:t xml:space="preserve"> </w:t>
      </w:r>
    </w:p>
    <w:p w14:paraId="3BA6B749" w14:textId="77777777" w:rsidR="008B45E6" w:rsidRPr="0067630E" w:rsidRDefault="008B45E6" w:rsidP="00824A4D">
      <w:pPr>
        <w:jc w:val="both"/>
        <w:rPr>
          <w:b/>
        </w:rPr>
      </w:pPr>
    </w:p>
    <w:p w14:paraId="3F67378B" w14:textId="067CDAA0" w:rsidR="00A5017B" w:rsidRPr="0067630E" w:rsidRDefault="00A5017B" w:rsidP="00A5017B">
      <w:pPr>
        <w:jc w:val="both"/>
      </w:pPr>
      <w:r w:rsidRPr="0067630E">
        <w:t>Pravno (edino) logična avtentična razlaga veljavnih predpisov o varstvu delavskih predstavnikov pred odpovedjo pogodbe o zaposlitvi se tako v bistvu nakazuje sama od sebe. In sicer:</w:t>
      </w:r>
    </w:p>
    <w:p w14:paraId="05BDE372" w14:textId="77777777" w:rsidR="00A5017B" w:rsidRPr="0067630E" w:rsidRDefault="00A5017B" w:rsidP="00824A4D">
      <w:pPr>
        <w:jc w:val="both"/>
        <w:rPr>
          <w:b/>
        </w:rPr>
      </w:pPr>
    </w:p>
    <w:p w14:paraId="05D246B6" w14:textId="77777777" w:rsidR="008B45E6" w:rsidRPr="0067630E" w:rsidRDefault="008B45E6" w:rsidP="00824A4D">
      <w:pPr>
        <w:jc w:val="both"/>
        <w:rPr>
          <w:i/>
        </w:rPr>
      </w:pPr>
      <w:r w:rsidRPr="0067630E">
        <w:rPr>
          <w:i/>
        </w:rPr>
        <w:t>Neskladje med dvema veljavnima določbama</w:t>
      </w:r>
    </w:p>
    <w:p w14:paraId="6EEF69C3" w14:textId="77777777" w:rsidR="00C4383C" w:rsidRPr="00F92607" w:rsidRDefault="00C4383C" w:rsidP="00824A4D">
      <w:pPr>
        <w:jc w:val="both"/>
      </w:pPr>
    </w:p>
    <w:p w14:paraId="6BB8F764" w14:textId="77777777" w:rsidR="00706CB2" w:rsidRPr="00F92607" w:rsidRDefault="00600D63" w:rsidP="00706CB2">
      <w:pPr>
        <w:jc w:val="both"/>
      </w:pPr>
      <w:r w:rsidRPr="00F92607">
        <w:t>1.</w:t>
      </w:r>
    </w:p>
    <w:p w14:paraId="31F7B954" w14:textId="77777777" w:rsidR="00924F81" w:rsidRPr="00F92607" w:rsidRDefault="00600D63" w:rsidP="006B6AF5">
      <w:pPr>
        <w:tabs>
          <w:tab w:val="left" w:pos="3463"/>
        </w:tabs>
        <w:jc w:val="both"/>
        <w:rPr>
          <w:i/>
          <w:szCs w:val="22"/>
        </w:rPr>
      </w:pPr>
      <w:r w:rsidRPr="00F92607">
        <w:t>O</w:t>
      </w:r>
      <w:r w:rsidR="00E651B1" w:rsidRPr="00F92607">
        <w:t>bstaja</w:t>
      </w:r>
      <w:r w:rsidR="00637684" w:rsidRPr="00F92607">
        <w:t xml:space="preserve"> zelo jasn</w:t>
      </w:r>
      <w:r w:rsidR="00E651B1" w:rsidRPr="00F92607">
        <w:t>a</w:t>
      </w:r>
      <w:r w:rsidR="00637684" w:rsidRPr="00F92607">
        <w:t xml:space="preserve"> in v tem smislu tudi povsem nedvoumn</w:t>
      </w:r>
      <w:r w:rsidR="00E651B1" w:rsidRPr="00F92607">
        <w:t>a</w:t>
      </w:r>
      <w:r w:rsidR="00637684" w:rsidRPr="00F92607">
        <w:t xml:space="preserve"> </w:t>
      </w:r>
      <w:r w:rsidR="00637684" w:rsidRPr="00F92607">
        <w:rPr>
          <w:b/>
        </w:rPr>
        <w:t>določb</w:t>
      </w:r>
      <w:r w:rsidR="00E651B1" w:rsidRPr="00F92607">
        <w:rPr>
          <w:b/>
        </w:rPr>
        <w:t>a</w:t>
      </w:r>
      <w:r w:rsidR="00637684" w:rsidRPr="00F92607">
        <w:t xml:space="preserve"> </w:t>
      </w:r>
      <w:r w:rsidR="00637684" w:rsidRPr="00F92607">
        <w:rPr>
          <w:b/>
        </w:rPr>
        <w:t xml:space="preserve">1. člena </w:t>
      </w:r>
      <w:r w:rsidR="0074343A" w:rsidRPr="00F92607">
        <w:rPr>
          <w:b/>
        </w:rPr>
        <w:t xml:space="preserve">omenjene </w:t>
      </w:r>
      <w:r w:rsidR="00637684" w:rsidRPr="00F92607">
        <w:rPr>
          <w:b/>
        </w:rPr>
        <w:t>Konvencije MOD</w:t>
      </w:r>
      <w:r w:rsidR="00637684" w:rsidRPr="00F92607">
        <w:t xml:space="preserve">, ki </w:t>
      </w:r>
      <w:r w:rsidRPr="00F92607">
        <w:t>se glasi</w:t>
      </w:r>
      <w:r w:rsidR="006B6AF5" w:rsidRPr="00F92607">
        <w:t>: »</w:t>
      </w:r>
      <w:r w:rsidR="006B6AF5" w:rsidRPr="00F92607">
        <w:rPr>
          <w:i/>
          <w:szCs w:val="22"/>
        </w:rPr>
        <w:t xml:space="preserve">»Predstavniki delavcev v podjetju morajo biti učinkovito zavarovani pred vsakim postopkom, ki bi bil zanje škodljiv, kamor spada tudi odpuščanje zaradi njihovega statusa ali aktivnosti kot predstavnikov delavcev ali zaradi članstva v sindikatu ali zaradi udeležbe v sindikalnih aktivnostih, če ravnajo v skladu z veljavnimi zakoni, kolektivnimi pogodbami ali drugimi skupno dogovorjenimi sporazumi.« </w:t>
      </w:r>
    </w:p>
    <w:p w14:paraId="078DAB0E" w14:textId="77777777" w:rsidR="00924F81" w:rsidRPr="00F92607" w:rsidRDefault="00924F81" w:rsidP="006B6AF5">
      <w:pPr>
        <w:tabs>
          <w:tab w:val="left" w:pos="3463"/>
        </w:tabs>
        <w:jc w:val="both"/>
        <w:rPr>
          <w:i/>
          <w:szCs w:val="22"/>
        </w:rPr>
      </w:pPr>
    </w:p>
    <w:p w14:paraId="60E7DBE6" w14:textId="77777777" w:rsidR="00C930D0" w:rsidRPr="00F92607" w:rsidRDefault="00EC1A45" w:rsidP="00C930D0">
      <w:pPr>
        <w:jc w:val="both"/>
      </w:pPr>
      <w:r w:rsidRPr="00F92607">
        <w:rPr>
          <w:szCs w:val="22"/>
        </w:rPr>
        <w:t>Ta določba</w:t>
      </w:r>
      <w:r w:rsidR="001556CC" w:rsidRPr="00F92607">
        <w:rPr>
          <w:szCs w:val="22"/>
        </w:rPr>
        <w:t>, ki naj bi jo vsaka država podpisnica ustrezno implementirala v svoj nacionalni pravni red</w:t>
      </w:r>
      <w:r w:rsidR="00DE4E72" w:rsidRPr="00F92607">
        <w:rPr>
          <w:szCs w:val="22"/>
        </w:rPr>
        <w:t xml:space="preserve"> (če je ne, pa se uporablja neposredno)</w:t>
      </w:r>
      <w:r w:rsidR="001556CC" w:rsidRPr="00F92607">
        <w:rPr>
          <w:szCs w:val="22"/>
        </w:rPr>
        <w:t>,</w:t>
      </w:r>
      <w:r w:rsidR="00C930D0" w:rsidRPr="00F92607">
        <w:rPr>
          <w:szCs w:val="22"/>
        </w:rPr>
        <w:t xml:space="preserve"> torej zelo jasno in nedvoumno </w:t>
      </w:r>
      <w:r w:rsidR="00C930D0" w:rsidRPr="00F92607">
        <w:t xml:space="preserve">zahteva učinkovito varstvo delavskih predstavnikov </w:t>
      </w:r>
      <w:r w:rsidR="00C930D0" w:rsidRPr="00F92607">
        <w:rPr>
          <w:b/>
        </w:rPr>
        <w:t>»pred« in ne šele »po« podani dokončni odpovedi</w:t>
      </w:r>
      <w:r w:rsidR="00C930D0" w:rsidRPr="00F92607">
        <w:t xml:space="preserve">, kar je tudi povsem logično, kajti varstvo zoper dokončno odpoved imajo </w:t>
      </w:r>
      <w:r w:rsidR="002470C1" w:rsidRPr="00F92607">
        <w:t xml:space="preserve">po zakonu že na splošno zagotovljeno </w:t>
      </w:r>
      <w:r w:rsidR="005D12ED" w:rsidRPr="00F92607">
        <w:t>vsi delavci. Kar pomeni,</w:t>
      </w:r>
      <w:r w:rsidR="00C930D0" w:rsidRPr="00F92607">
        <w:t xml:space="preserve"> da </w:t>
      </w:r>
      <w:r w:rsidR="0095538A" w:rsidRPr="00F92607">
        <w:t xml:space="preserve">je </w:t>
      </w:r>
      <w:r w:rsidR="007B642B">
        <w:t>–</w:t>
      </w:r>
      <w:r w:rsidR="006877ED" w:rsidRPr="00F92607">
        <w:t xml:space="preserve"> če to določbo </w:t>
      </w:r>
      <w:r w:rsidR="005D6426" w:rsidRPr="00F92607">
        <w:t>konvencije</w:t>
      </w:r>
      <w:r w:rsidR="0095538A" w:rsidRPr="00F92607">
        <w:t>, tako kot je to st</w:t>
      </w:r>
      <w:r w:rsidR="005D12ED" w:rsidRPr="00F92607">
        <w:t>oril ZDR-1 v</w:t>
      </w:r>
      <w:r w:rsidR="007B642B">
        <w:t xml:space="preserve"> </w:t>
      </w:r>
      <w:r w:rsidR="005D12ED" w:rsidRPr="00F92607">
        <w:t xml:space="preserve">svojem 112. členu </w:t>
      </w:r>
      <w:r w:rsidR="007B642B">
        <w:t>–</w:t>
      </w:r>
      <w:r w:rsidR="0095538A" w:rsidRPr="00F92607">
        <w:t xml:space="preserve"> zgolj</w:t>
      </w:r>
      <w:r w:rsidR="006877ED" w:rsidRPr="00F92607">
        <w:t xml:space="preserve"> </w:t>
      </w:r>
      <w:r w:rsidR="0095538A" w:rsidRPr="00F92607">
        <w:t>»</w:t>
      </w:r>
      <w:r w:rsidR="006877ED" w:rsidRPr="00F92607">
        <w:t>prepišemo</w:t>
      </w:r>
      <w:r w:rsidR="0095538A" w:rsidRPr="00F92607">
        <w:t>«</w:t>
      </w:r>
      <w:r w:rsidR="006877ED" w:rsidRPr="00F92607">
        <w:t xml:space="preserve"> v nacionalni zakon, </w:t>
      </w:r>
      <w:r w:rsidR="0095538A" w:rsidRPr="00F92607">
        <w:t xml:space="preserve">pravzaprav </w:t>
      </w:r>
      <w:r w:rsidR="00C930D0" w:rsidRPr="00F92607">
        <w:t>popoln logični nesmisel sploh govoriti o tem, da imajo delavski predstavniki kakršnokoli</w:t>
      </w:r>
      <w:r w:rsidR="007B642B">
        <w:t xml:space="preserve"> </w:t>
      </w:r>
      <w:r w:rsidR="00C930D0" w:rsidRPr="00F92607">
        <w:rPr>
          <w:b/>
        </w:rPr>
        <w:t xml:space="preserve">»posebno« varstvo </w:t>
      </w:r>
      <w:r w:rsidR="00C930D0" w:rsidRPr="00F92607">
        <w:t xml:space="preserve">v primerjavi z ostalimi delavci. </w:t>
      </w:r>
    </w:p>
    <w:p w14:paraId="39EC0004" w14:textId="77777777" w:rsidR="00EC1A45" w:rsidRPr="00F92607" w:rsidRDefault="00EC1A45" w:rsidP="006B6AF5">
      <w:pPr>
        <w:tabs>
          <w:tab w:val="left" w:pos="3463"/>
        </w:tabs>
        <w:jc w:val="both"/>
        <w:rPr>
          <w:szCs w:val="22"/>
        </w:rPr>
      </w:pPr>
    </w:p>
    <w:p w14:paraId="2DC95DCA" w14:textId="77777777" w:rsidR="00C930D0" w:rsidRPr="00F92607" w:rsidRDefault="0078247B" w:rsidP="00C930D0">
      <w:pPr>
        <w:jc w:val="both"/>
      </w:pPr>
      <w:r w:rsidRPr="00F92607">
        <w:t xml:space="preserve">Konvencija pri tej svoji zahtevi po </w:t>
      </w:r>
      <w:r w:rsidRPr="00F92607">
        <w:rPr>
          <w:b/>
          <w:i/>
        </w:rPr>
        <w:t>»preventivni«</w:t>
      </w:r>
      <w:r w:rsidRPr="00F92607">
        <w:t xml:space="preserve">, ne </w:t>
      </w:r>
      <w:r w:rsidR="005D6426" w:rsidRPr="00F92607">
        <w:t>po</w:t>
      </w:r>
      <w:r w:rsidRPr="00F92607">
        <w:t xml:space="preserve"> </w:t>
      </w:r>
      <w:r w:rsidRPr="00F92607">
        <w:rPr>
          <w:b/>
          <w:i/>
        </w:rPr>
        <w:t>»kurativni«</w:t>
      </w:r>
      <w:r w:rsidRPr="00F92607">
        <w:t xml:space="preserve"> zaščiti delavskih predstavnikov</w:t>
      </w:r>
      <w:r w:rsidR="00C930D0" w:rsidRPr="00F92607">
        <w:t xml:space="preserve"> izhaja iz logičnega dejstva, da glede opravljanja delavsko-zastopniških funkcij delodajalec nad delavskim predstavnikom </w:t>
      </w:r>
      <w:r w:rsidR="007B642B">
        <w:t>–</w:t>
      </w:r>
      <w:r w:rsidR="00C930D0" w:rsidRPr="00F92607">
        <w:t xml:space="preserve"> ker gre v tem primeru </w:t>
      </w:r>
      <w:r w:rsidR="00BB2034" w:rsidRPr="00F92607">
        <w:t xml:space="preserve">seveda </w:t>
      </w:r>
      <w:r w:rsidR="00C930D0" w:rsidRPr="00F92607">
        <w:t xml:space="preserve">za povsem drugačno medsebojno razmerje, ki nima nobene zveze z »rednim« delom </w:t>
      </w:r>
      <w:r w:rsidR="007A50AA" w:rsidRPr="00F92607">
        <w:t>delavskega predstavnika v produkcijskem procesu delodajalca</w:t>
      </w:r>
      <w:r w:rsidR="00C930D0" w:rsidRPr="00F92607">
        <w:t xml:space="preserve"> </w:t>
      </w:r>
      <w:r w:rsidR="007B642B">
        <w:t>–</w:t>
      </w:r>
      <w:r w:rsidR="00C930D0" w:rsidRPr="00F92607">
        <w:t xml:space="preserve"> ne more imeti, </w:t>
      </w:r>
      <w:r w:rsidR="00BB2034" w:rsidRPr="00F92607">
        <w:t xml:space="preserve">enako </w:t>
      </w:r>
      <w:r w:rsidR="00C930D0" w:rsidRPr="00F92607">
        <w:t xml:space="preserve">kot to velja </w:t>
      </w:r>
      <w:r w:rsidR="007A50AA" w:rsidRPr="00F92607">
        <w:t>za ostale delavce</w:t>
      </w:r>
      <w:r w:rsidR="00C930D0" w:rsidRPr="00F92607">
        <w:t xml:space="preserve">, </w:t>
      </w:r>
      <w:r w:rsidR="00C930D0" w:rsidRPr="00F92607">
        <w:rPr>
          <w:b/>
        </w:rPr>
        <w:t>absolutne delovnopravne (tj. direktivne in disciplinske) oblasti</w:t>
      </w:r>
      <w:r w:rsidR="00BB2034" w:rsidRPr="00F92607">
        <w:t xml:space="preserve">, </w:t>
      </w:r>
      <w:r w:rsidR="00C930D0" w:rsidRPr="00F92607">
        <w:t xml:space="preserve">in da zato (ravno zaradi </w:t>
      </w:r>
      <w:r w:rsidR="00A76781" w:rsidRPr="00F92607">
        <w:t xml:space="preserve">objektivno </w:t>
      </w:r>
      <w:r w:rsidR="00C930D0" w:rsidRPr="00F92607">
        <w:t xml:space="preserve">možnih zlorab </w:t>
      </w:r>
      <w:r w:rsidR="00A76781" w:rsidRPr="00F92607">
        <w:t xml:space="preserve">te </w:t>
      </w:r>
      <w:r w:rsidR="00C930D0" w:rsidRPr="00F92607">
        <w:t xml:space="preserve">svoje delovnopravne oblasti) zoper njega </w:t>
      </w:r>
      <w:r w:rsidR="00BB2034" w:rsidRPr="00F92607">
        <w:t xml:space="preserve">tudi </w:t>
      </w:r>
      <w:r w:rsidR="00C930D0" w:rsidRPr="00F92607">
        <w:t xml:space="preserve">ne more po prosti presoji </w:t>
      </w:r>
      <w:r w:rsidR="00C930D0" w:rsidRPr="00F92607">
        <w:rPr>
          <w:b/>
        </w:rPr>
        <w:t xml:space="preserve">delovnopravno ukrepati </w:t>
      </w:r>
      <w:r w:rsidR="00C930D0" w:rsidRPr="00F92607">
        <w:t>enako kot zoper vse ostale delavce.</w:t>
      </w:r>
    </w:p>
    <w:p w14:paraId="211FDB09" w14:textId="77777777" w:rsidR="00EA6845" w:rsidRPr="00F92607" w:rsidRDefault="00EA6845" w:rsidP="00C930D0">
      <w:pPr>
        <w:jc w:val="both"/>
      </w:pPr>
    </w:p>
    <w:p w14:paraId="5E22BB24" w14:textId="77777777" w:rsidR="00EA6845" w:rsidRPr="00F92607" w:rsidRDefault="00EA6845" w:rsidP="00C930D0">
      <w:pPr>
        <w:jc w:val="both"/>
      </w:pPr>
      <w:r w:rsidRPr="00F92607">
        <w:t>In t</w:t>
      </w:r>
      <w:r w:rsidR="005D6426" w:rsidRPr="00F92607">
        <w:t>o</w:t>
      </w:r>
      <w:r w:rsidRPr="00F92607">
        <w:t xml:space="preserve"> določbo je treba, kot rečeno, v tem smislu uporabljati neposredno, čeprav v ZDR-1</w:t>
      </w:r>
      <w:r w:rsidR="00170896">
        <w:t xml:space="preserve"> </w:t>
      </w:r>
      <w:r w:rsidRPr="00F92607">
        <w:t>ni ustrezno implementirana. Določbe 112. člena ZDR torej preprosto ni mogoče</w:t>
      </w:r>
      <w:r w:rsidR="00B81F36" w:rsidRPr="00F92607">
        <w:t xml:space="preserve"> v praksi</w:t>
      </w:r>
      <w:r w:rsidRPr="00F92607">
        <w:t xml:space="preserve"> interpretirati </w:t>
      </w:r>
      <w:r w:rsidR="00B81F36" w:rsidRPr="00F92607">
        <w:t xml:space="preserve">in uporabljati </w:t>
      </w:r>
      <w:r w:rsidRPr="00F92607">
        <w:rPr>
          <w:b/>
        </w:rPr>
        <w:t>ločeno in neodvisno od določbe 1. člena Konvencije MOD št. 135.</w:t>
      </w:r>
    </w:p>
    <w:p w14:paraId="757229DE" w14:textId="77777777" w:rsidR="00EC1A45" w:rsidRPr="00F92607" w:rsidRDefault="00EC1A45" w:rsidP="006B6AF5">
      <w:pPr>
        <w:tabs>
          <w:tab w:val="left" w:pos="3463"/>
        </w:tabs>
        <w:jc w:val="both"/>
        <w:rPr>
          <w:i/>
          <w:szCs w:val="22"/>
        </w:rPr>
      </w:pPr>
    </w:p>
    <w:p w14:paraId="37BD2907" w14:textId="77777777" w:rsidR="00230C8C" w:rsidRPr="00F92607" w:rsidRDefault="00DE4E72" w:rsidP="006B6AF5">
      <w:pPr>
        <w:tabs>
          <w:tab w:val="left" w:pos="3463"/>
        </w:tabs>
        <w:jc w:val="both"/>
        <w:rPr>
          <w:szCs w:val="22"/>
        </w:rPr>
      </w:pPr>
      <w:r w:rsidRPr="00F92607">
        <w:rPr>
          <w:szCs w:val="22"/>
        </w:rPr>
        <w:t>2.</w:t>
      </w:r>
    </w:p>
    <w:p w14:paraId="6EDBC34A" w14:textId="77777777" w:rsidR="0078247B" w:rsidRPr="00F92607" w:rsidRDefault="00230C8C" w:rsidP="006B6AF5">
      <w:pPr>
        <w:tabs>
          <w:tab w:val="left" w:pos="3463"/>
        </w:tabs>
        <w:jc w:val="both"/>
        <w:rPr>
          <w:szCs w:val="22"/>
        </w:rPr>
      </w:pPr>
      <w:r w:rsidRPr="00F92607">
        <w:rPr>
          <w:szCs w:val="22"/>
        </w:rPr>
        <w:t xml:space="preserve">Na drugi strani pa </w:t>
      </w:r>
      <w:r w:rsidR="00DE4E72" w:rsidRPr="00F92607">
        <w:rPr>
          <w:szCs w:val="22"/>
        </w:rPr>
        <w:t>imamo</w:t>
      </w:r>
      <w:r w:rsidRPr="00F92607">
        <w:rPr>
          <w:szCs w:val="22"/>
        </w:rPr>
        <w:t xml:space="preserve"> v omenjenem</w:t>
      </w:r>
      <w:r w:rsidR="00DE4E72" w:rsidRPr="00F92607">
        <w:rPr>
          <w:szCs w:val="22"/>
        </w:rPr>
        <w:t xml:space="preserve"> </w:t>
      </w:r>
      <w:r w:rsidRPr="00F92607">
        <w:rPr>
          <w:szCs w:val="22"/>
        </w:rPr>
        <w:t xml:space="preserve">implementacijskem smislu </w:t>
      </w:r>
      <w:r w:rsidRPr="00F92607">
        <w:rPr>
          <w:b/>
          <w:szCs w:val="22"/>
        </w:rPr>
        <w:t>izjemo pomanjkljiv</w:t>
      </w:r>
      <w:r w:rsidR="00DE4E72" w:rsidRPr="00F92607">
        <w:rPr>
          <w:b/>
          <w:szCs w:val="22"/>
        </w:rPr>
        <w:t>o določbo prvega odstavka 112. člena slovenskega ZDR-1</w:t>
      </w:r>
      <w:r w:rsidR="00DE4E72" w:rsidRPr="00F92607">
        <w:rPr>
          <w:szCs w:val="22"/>
        </w:rPr>
        <w:t xml:space="preserve">, ki </w:t>
      </w:r>
      <w:r w:rsidR="007B642B">
        <w:rPr>
          <w:szCs w:val="22"/>
        </w:rPr>
        <w:t>–</w:t>
      </w:r>
      <w:r w:rsidR="00DE4E72" w:rsidRPr="00F92607">
        <w:rPr>
          <w:szCs w:val="22"/>
        </w:rPr>
        <w:t xml:space="preserve"> kot ustrezen varstveni instrument </w:t>
      </w:r>
      <w:r w:rsidR="007B642B">
        <w:rPr>
          <w:szCs w:val="22"/>
        </w:rPr>
        <w:t>–</w:t>
      </w:r>
      <w:r w:rsidR="00DE4E72" w:rsidRPr="00F92607">
        <w:rPr>
          <w:szCs w:val="22"/>
        </w:rPr>
        <w:t xml:space="preserve"> zahteva predhodno soglasje sveta delavcev ali sindikata le v primerih, ko gre za redno odpoved pogodbe o zaposlitvi delavskemu predstavniku iz </w:t>
      </w:r>
      <w:r w:rsidR="00DE4E72" w:rsidRPr="00F92607">
        <w:rPr>
          <w:b/>
          <w:szCs w:val="22"/>
        </w:rPr>
        <w:t>»poslovnih«</w:t>
      </w:r>
      <w:r w:rsidR="00DE4E72" w:rsidRPr="00F92607">
        <w:rPr>
          <w:szCs w:val="22"/>
        </w:rPr>
        <w:t xml:space="preserve"> razlogov, ne pa tudi glede redne ali izredne odpovedi iz </w:t>
      </w:r>
      <w:r w:rsidR="00DE4E72" w:rsidRPr="00F92607">
        <w:rPr>
          <w:b/>
          <w:szCs w:val="22"/>
        </w:rPr>
        <w:t>»krivdnih«</w:t>
      </w:r>
      <w:r w:rsidR="00DE4E72" w:rsidRPr="00F92607">
        <w:rPr>
          <w:szCs w:val="22"/>
        </w:rPr>
        <w:t xml:space="preserve"> razlogov. </w:t>
      </w:r>
      <w:r w:rsidR="0078247B" w:rsidRPr="00F92607">
        <w:rPr>
          <w:szCs w:val="22"/>
        </w:rPr>
        <w:t>Čeprav so seveda v praksi ravno ti »razlogi« najpogostejši predmet zlorab s strani »nepoštenih« delodajalcev.</w:t>
      </w:r>
      <w:r w:rsidR="00363363" w:rsidRPr="00F92607">
        <w:rPr>
          <w:szCs w:val="22"/>
        </w:rPr>
        <w:t xml:space="preserve"> </w:t>
      </w:r>
      <w:r w:rsidR="00FE2E3D" w:rsidRPr="00F92607">
        <w:rPr>
          <w:szCs w:val="22"/>
        </w:rPr>
        <w:t>Noben delodajalec namreč ni tako nespameten, da bi v obrazložitvi odpovedi zapisal, da delavskega predstavnika odpušča zaradi njegove funkcije, ampak se vedno najdejo nekakšni »krivdni« razlogi.</w:t>
      </w:r>
    </w:p>
    <w:p w14:paraId="7FDFCE3D" w14:textId="77777777" w:rsidR="0078247B" w:rsidRPr="00F92607" w:rsidRDefault="0078247B" w:rsidP="006B6AF5">
      <w:pPr>
        <w:tabs>
          <w:tab w:val="left" w:pos="3463"/>
        </w:tabs>
        <w:jc w:val="both"/>
        <w:rPr>
          <w:szCs w:val="22"/>
        </w:rPr>
      </w:pPr>
    </w:p>
    <w:p w14:paraId="47F7EAC7" w14:textId="77777777" w:rsidR="00330E0F" w:rsidRPr="00F92607" w:rsidRDefault="00DE4E72" w:rsidP="006B6AF5">
      <w:pPr>
        <w:tabs>
          <w:tab w:val="left" w:pos="3463"/>
        </w:tabs>
        <w:jc w:val="both"/>
        <w:rPr>
          <w:rFonts w:eastAsia="Times New Roman"/>
        </w:rPr>
      </w:pPr>
      <w:r w:rsidRPr="00F92607">
        <w:rPr>
          <w:szCs w:val="22"/>
        </w:rPr>
        <w:t xml:space="preserve">Glede tega </w:t>
      </w:r>
      <w:r w:rsidR="00330E0F" w:rsidRPr="00F92607">
        <w:rPr>
          <w:szCs w:val="22"/>
        </w:rPr>
        <w:t xml:space="preserve">omenjena določba </w:t>
      </w:r>
      <w:r w:rsidRPr="00F92607">
        <w:rPr>
          <w:szCs w:val="22"/>
        </w:rPr>
        <w:t>pravi, da je soglasje sveta delavcev</w:t>
      </w:r>
      <w:r w:rsidR="00FF5FF3" w:rsidRPr="00F92607">
        <w:rPr>
          <w:szCs w:val="22"/>
        </w:rPr>
        <w:t xml:space="preserve"> ali sindikata</w:t>
      </w:r>
      <w:r w:rsidRPr="00F92607">
        <w:rPr>
          <w:szCs w:val="22"/>
        </w:rPr>
        <w:t xml:space="preserve"> potrebno le, če delavski predstavnik </w:t>
      </w:r>
      <w:r w:rsidRPr="00F92607">
        <w:rPr>
          <w:b/>
          <w:szCs w:val="22"/>
        </w:rPr>
        <w:t xml:space="preserve">»ravna v skladu </w:t>
      </w:r>
      <w:r w:rsidR="00FF5FF3" w:rsidRPr="00F92607">
        <w:rPr>
          <w:rFonts w:eastAsia="Times New Roman"/>
          <w:b/>
        </w:rPr>
        <w:t>z zakonom, kolektivno pogodbo in pogodbo o zaposlitvi«</w:t>
      </w:r>
      <w:r w:rsidR="00FF5FF3" w:rsidRPr="00F92607">
        <w:rPr>
          <w:rFonts w:eastAsia="Times New Roman"/>
        </w:rPr>
        <w:t xml:space="preserve">. </w:t>
      </w:r>
      <w:proofErr w:type="spellStart"/>
      <w:r w:rsidR="00FE2E3D" w:rsidRPr="00F92607">
        <w:rPr>
          <w:rFonts w:eastAsia="Times New Roman"/>
          <w:i/>
        </w:rPr>
        <w:t>Argumentum</w:t>
      </w:r>
      <w:proofErr w:type="spellEnd"/>
      <w:r w:rsidR="00FE2E3D" w:rsidRPr="00F92607">
        <w:rPr>
          <w:rFonts w:eastAsia="Times New Roman"/>
          <w:i/>
        </w:rPr>
        <w:t xml:space="preserve"> a </w:t>
      </w:r>
      <w:proofErr w:type="spellStart"/>
      <w:r w:rsidR="00FE2E3D" w:rsidRPr="00F92607">
        <w:rPr>
          <w:rFonts w:eastAsia="Times New Roman"/>
          <w:i/>
        </w:rPr>
        <w:t>contrario</w:t>
      </w:r>
      <w:proofErr w:type="spellEnd"/>
      <w:r w:rsidR="00FE2E3D" w:rsidRPr="00F92607">
        <w:rPr>
          <w:rFonts w:eastAsia="Times New Roman"/>
        </w:rPr>
        <w:t xml:space="preserve">: če ne ravna tako, oziroma, če </w:t>
      </w:r>
      <w:r w:rsidR="000A6C41" w:rsidRPr="00F92607">
        <w:rPr>
          <w:rFonts w:eastAsia="Times New Roman"/>
        </w:rPr>
        <w:t>(domnevno) krši to zapoved, ne uživa nobenega varstva v obliki obveznega predhodnega sogla</w:t>
      </w:r>
      <w:r w:rsidR="0010683D">
        <w:rPr>
          <w:rFonts w:eastAsia="Times New Roman"/>
        </w:rPr>
        <w:t>s</w:t>
      </w:r>
      <w:r w:rsidR="000A6C41" w:rsidRPr="00F92607">
        <w:rPr>
          <w:rFonts w:eastAsia="Times New Roman"/>
        </w:rPr>
        <w:t>ja sveta delavcev ali sin</w:t>
      </w:r>
      <w:r w:rsidR="00473822">
        <w:rPr>
          <w:rFonts w:eastAsia="Times New Roman"/>
        </w:rPr>
        <w:t>di</w:t>
      </w:r>
      <w:r w:rsidR="000A6C41" w:rsidRPr="00F92607">
        <w:rPr>
          <w:rFonts w:eastAsia="Times New Roman"/>
        </w:rPr>
        <w:t xml:space="preserve">kata. </w:t>
      </w:r>
      <w:r w:rsidR="00FF5FF3" w:rsidRPr="00F92607">
        <w:rPr>
          <w:rFonts w:eastAsia="Times New Roman"/>
        </w:rPr>
        <w:t xml:space="preserve">Kar seveda ob strogo gramatikalni razlagi te določbe, kakršna se v praksi v Sloveniji </w:t>
      </w:r>
      <w:r w:rsidR="00363363" w:rsidRPr="00F92607">
        <w:rPr>
          <w:rFonts w:eastAsia="Times New Roman"/>
        </w:rPr>
        <w:t xml:space="preserve">na splošno </w:t>
      </w:r>
      <w:r w:rsidR="00FF5FF3" w:rsidRPr="00F92607">
        <w:rPr>
          <w:rFonts w:eastAsia="Times New Roman"/>
        </w:rPr>
        <w:t xml:space="preserve">uporablja zdaj, pomeni, da je, če delodajalec delavskega predstavnika enostransko </w:t>
      </w:r>
      <w:r w:rsidR="00FE2E3D" w:rsidRPr="00F92607">
        <w:rPr>
          <w:rFonts w:eastAsia="Times New Roman"/>
        </w:rPr>
        <w:t>(</w:t>
      </w:r>
      <w:proofErr w:type="spellStart"/>
      <w:r w:rsidR="00FE2E3D" w:rsidRPr="00F92607">
        <w:rPr>
          <w:rFonts w:eastAsia="Times New Roman"/>
        </w:rPr>
        <w:t>makar</w:t>
      </w:r>
      <w:proofErr w:type="spellEnd"/>
      <w:r w:rsidR="00FE2E3D" w:rsidRPr="00F92607">
        <w:rPr>
          <w:rFonts w:eastAsia="Times New Roman"/>
        </w:rPr>
        <w:t xml:space="preserve"> povsem po krivem) </w:t>
      </w:r>
      <w:r w:rsidR="00FF5FF3" w:rsidRPr="00F92607">
        <w:rPr>
          <w:rFonts w:eastAsia="Times New Roman"/>
        </w:rPr>
        <w:t xml:space="preserve">obtoži in v skladu z načelom »kadija toži </w:t>
      </w:r>
      <w:r w:rsidR="007B642B">
        <w:rPr>
          <w:rFonts w:eastAsia="Times New Roman"/>
        </w:rPr>
        <w:t>–</w:t>
      </w:r>
      <w:r w:rsidR="00FF5FF3" w:rsidRPr="00F92607">
        <w:rPr>
          <w:rFonts w:eastAsia="Times New Roman"/>
        </w:rPr>
        <w:t xml:space="preserve"> kadija sodi« tudi </w:t>
      </w:r>
      <w:r w:rsidR="000A6C41" w:rsidRPr="00F92607">
        <w:rPr>
          <w:rFonts w:eastAsia="Times New Roman"/>
        </w:rPr>
        <w:t>»</w:t>
      </w:r>
      <w:r w:rsidR="00FF5FF3" w:rsidRPr="00F92607">
        <w:rPr>
          <w:rFonts w:eastAsia="Times New Roman"/>
        </w:rPr>
        <w:t>obsodi</w:t>
      </w:r>
      <w:r w:rsidR="000A6C41" w:rsidRPr="00F92607">
        <w:rPr>
          <w:rFonts w:eastAsia="Times New Roman"/>
        </w:rPr>
        <w:t>«</w:t>
      </w:r>
      <w:r w:rsidR="00FF5FF3" w:rsidRPr="00F92607">
        <w:rPr>
          <w:rFonts w:eastAsia="Times New Roman"/>
        </w:rPr>
        <w:t xml:space="preserve"> na ukrep odpovedi pogodbe o zaposlitvi, </w:t>
      </w:r>
      <w:r w:rsidR="00FF5FF3" w:rsidRPr="00F92607">
        <w:rPr>
          <w:rFonts w:eastAsia="Times New Roman"/>
          <w:b/>
        </w:rPr>
        <w:t>bojda vse v najlepšem redu in v skladu z zakonom</w:t>
      </w:r>
      <w:r w:rsidR="00FF5FF3" w:rsidRPr="00F92607">
        <w:rPr>
          <w:rFonts w:eastAsia="Times New Roman"/>
        </w:rPr>
        <w:t xml:space="preserve">. </w:t>
      </w:r>
      <w:r w:rsidR="00F73252" w:rsidRPr="00F92607">
        <w:rPr>
          <w:rFonts w:eastAsia="Times New Roman"/>
        </w:rPr>
        <w:t xml:space="preserve">Delodajalec, ki (seveda po lastni prosti presoji) »ugotovi« kršitev, jo torej lahko tudi v primeru delavskih predstavnikov (prav tako po svoji lastni presoji in brez kakršnekoli predhodne »kontrole« kogarkoli) tudi sankcionira. </w:t>
      </w:r>
      <w:r w:rsidR="00773CA6" w:rsidRPr="00F92607">
        <w:rPr>
          <w:rFonts w:eastAsia="Times New Roman"/>
        </w:rPr>
        <w:t>Enako ko</w:t>
      </w:r>
      <w:r w:rsidR="00A55464">
        <w:rPr>
          <w:rFonts w:eastAsia="Times New Roman"/>
        </w:rPr>
        <w:t>t</w:t>
      </w:r>
      <w:r w:rsidR="00773CA6" w:rsidRPr="00F92607">
        <w:rPr>
          <w:rFonts w:eastAsia="Times New Roman"/>
        </w:rPr>
        <w:t xml:space="preserve"> pri kateremkoli drugem delavcu.</w:t>
      </w:r>
      <w:r w:rsidR="00F73252" w:rsidRPr="00F92607">
        <w:rPr>
          <w:rFonts w:eastAsia="Times New Roman"/>
        </w:rPr>
        <w:t xml:space="preserve"> </w:t>
      </w:r>
      <w:r w:rsidR="000A6C41" w:rsidRPr="00F92607">
        <w:rPr>
          <w:rFonts w:eastAsia="Times New Roman"/>
        </w:rPr>
        <w:t xml:space="preserve">V čem naj bi bilo torej domnevno »posebno« varstvo? Določba je v tem </w:t>
      </w:r>
      <w:r w:rsidR="008B45E6" w:rsidRPr="00F92607">
        <w:rPr>
          <w:rFonts w:eastAsia="Times New Roman"/>
        </w:rPr>
        <w:t>pogledu</w:t>
      </w:r>
      <w:r w:rsidR="000A6C41" w:rsidRPr="00F92607">
        <w:rPr>
          <w:rFonts w:eastAsia="Times New Roman"/>
        </w:rPr>
        <w:t xml:space="preserve"> povsem brezpredmetna.</w:t>
      </w:r>
    </w:p>
    <w:p w14:paraId="0CF6AE6F" w14:textId="77777777" w:rsidR="00330E0F" w:rsidRPr="00F92607" w:rsidRDefault="00330E0F" w:rsidP="006B6AF5">
      <w:pPr>
        <w:tabs>
          <w:tab w:val="left" w:pos="3463"/>
        </w:tabs>
        <w:jc w:val="both"/>
        <w:rPr>
          <w:rFonts w:eastAsia="Times New Roman"/>
        </w:rPr>
      </w:pPr>
    </w:p>
    <w:p w14:paraId="6E8E9F81" w14:textId="77777777" w:rsidR="00FF5FF3" w:rsidRPr="00F92607" w:rsidRDefault="00FF5FF3" w:rsidP="006B6AF5">
      <w:pPr>
        <w:tabs>
          <w:tab w:val="left" w:pos="3463"/>
        </w:tabs>
        <w:jc w:val="both"/>
        <w:rPr>
          <w:rFonts w:eastAsia="Times New Roman"/>
        </w:rPr>
      </w:pPr>
      <w:r w:rsidRPr="00F92607">
        <w:rPr>
          <w:rFonts w:eastAsia="Times New Roman"/>
        </w:rPr>
        <w:t xml:space="preserve">Gre seveda za </w:t>
      </w:r>
      <w:r w:rsidR="007B642B">
        <w:rPr>
          <w:rFonts w:eastAsia="Times New Roman"/>
        </w:rPr>
        <w:t>–</w:t>
      </w:r>
      <w:r w:rsidR="00E73F6A" w:rsidRPr="00F92607">
        <w:rPr>
          <w:rFonts w:eastAsia="Times New Roman"/>
        </w:rPr>
        <w:t xml:space="preserve"> vsaj v smislu temeljnega namena določbe 1. člena konvencije MOD št. 135 </w:t>
      </w:r>
      <w:r w:rsidR="007B642B">
        <w:rPr>
          <w:rFonts w:eastAsia="Times New Roman"/>
        </w:rPr>
        <w:t>–</w:t>
      </w:r>
      <w:r w:rsidR="00E73F6A" w:rsidRPr="00F92607">
        <w:rPr>
          <w:rFonts w:eastAsia="Times New Roman"/>
        </w:rPr>
        <w:t xml:space="preserve"> </w:t>
      </w:r>
      <w:r w:rsidRPr="00F92607">
        <w:rPr>
          <w:rFonts w:eastAsia="Times New Roman"/>
        </w:rPr>
        <w:t>popoln pravni nesmisel in absolutno nedopustno prakso, ki pa bi jo bilo z ustrezno avtentično razlago spornega člena ZDR-1, mogoče z lahkoto</w:t>
      </w:r>
      <w:r w:rsidR="00766DA7" w:rsidRPr="00F92607">
        <w:rPr>
          <w:rFonts w:eastAsia="Times New Roman"/>
        </w:rPr>
        <w:t xml:space="preserve"> in tudi pravno edino smiselno </w:t>
      </w:r>
      <w:r w:rsidR="00766DA7" w:rsidRPr="00F92607">
        <w:rPr>
          <w:rFonts w:eastAsia="Times New Roman"/>
          <w:b/>
        </w:rPr>
        <w:t xml:space="preserve">zelo elegantno </w:t>
      </w:r>
      <w:r w:rsidRPr="00F92607">
        <w:rPr>
          <w:rFonts w:eastAsia="Times New Roman"/>
          <w:b/>
        </w:rPr>
        <w:t>rešiti</w:t>
      </w:r>
      <w:r w:rsidR="00766DA7" w:rsidRPr="00F92607">
        <w:rPr>
          <w:rFonts w:eastAsia="Times New Roman"/>
        </w:rPr>
        <w:t xml:space="preserve"> tako, da </w:t>
      </w:r>
      <w:r w:rsidR="005B737A" w:rsidRPr="00F92607">
        <w:rPr>
          <w:rFonts w:eastAsia="Times New Roman"/>
        </w:rPr>
        <w:t xml:space="preserve">se jo pač samoumevno tolmači v neposredni povezavi z »duhom« citiranega člena </w:t>
      </w:r>
      <w:r w:rsidR="00E73F6A" w:rsidRPr="00F92607">
        <w:rPr>
          <w:rFonts w:eastAsia="Times New Roman"/>
        </w:rPr>
        <w:t>te konvencije</w:t>
      </w:r>
      <w:r w:rsidR="005B737A" w:rsidRPr="00F92607">
        <w:rPr>
          <w:rFonts w:eastAsia="Times New Roman"/>
        </w:rPr>
        <w:t xml:space="preserve">. Kakršnokoli drugačno interpretacijo je, kot rečeno, v bistvu </w:t>
      </w:r>
      <w:r w:rsidR="006C48E7" w:rsidRPr="00F92607">
        <w:rPr>
          <w:rFonts w:eastAsia="Times New Roman"/>
        </w:rPr>
        <w:t xml:space="preserve">tudi </w:t>
      </w:r>
      <w:r w:rsidR="005B737A" w:rsidRPr="00F92607">
        <w:rPr>
          <w:rFonts w:eastAsia="Times New Roman"/>
        </w:rPr>
        <w:t>sploh nemogoče pravno logično zagovarjati.</w:t>
      </w:r>
    </w:p>
    <w:p w14:paraId="708A0721" w14:textId="77777777" w:rsidR="005B737A" w:rsidRPr="00F92607" w:rsidRDefault="005B737A" w:rsidP="006B6AF5">
      <w:pPr>
        <w:tabs>
          <w:tab w:val="left" w:pos="3463"/>
        </w:tabs>
        <w:jc w:val="both"/>
        <w:rPr>
          <w:rFonts w:eastAsia="Times New Roman"/>
        </w:rPr>
      </w:pPr>
    </w:p>
    <w:p w14:paraId="7A407326" w14:textId="77777777" w:rsidR="008B45E6" w:rsidRPr="00F92607" w:rsidRDefault="008B45E6" w:rsidP="006B6AF5">
      <w:pPr>
        <w:tabs>
          <w:tab w:val="left" w:pos="3463"/>
        </w:tabs>
        <w:jc w:val="both"/>
        <w:rPr>
          <w:rFonts w:eastAsia="Times New Roman"/>
          <w:i/>
        </w:rPr>
      </w:pPr>
      <w:r w:rsidRPr="00F92607">
        <w:rPr>
          <w:rFonts w:eastAsia="Times New Roman"/>
          <w:i/>
        </w:rPr>
        <w:t>Odprt pravni prostor za avtentično razlago</w:t>
      </w:r>
    </w:p>
    <w:p w14:paraId="158E63E1" w14:textId="77777777" w:rsidR="008B45E6" w:rsidRPr="00F92607" w:rsidRDefault="008B45E6" w:rsidP="006B6AF5">
      <w:pPr>
        <w:tabs>
          <w:tab w:val="left" w:pos="3463"/>
        </w:tabs>
        <w:jc w:val="both"/>
        <w:rPr>
          <w:rFonts w:eastAsia="Times New Roman"/>
        </w:rPr>
      </w:pPr>
    </w:p>
    <w:p w14:paraId="129A77F2" w14:textId="77777777" w:rsidR="005C2DB7" w:rsidRPr="00F92607" w:rsidRDefault="005B737A" w:rsidP="002169B6">
      <w:pPr>
        <w:tabs>
          <w:tab w:val="left" w:pos="3463"/>
        </w:tabs>
        <w:jc w:val="both"/>
        <w:rPr>
          <w:rFonts w:eastAsia="Times New Roman"/>
        </w:rPr>
      </w:pPr>
      <w:r w:rsidRPr="00F92607">
        <w:rPr>
          <w:rFonts w:eastAsia="Times New Roman"/>
        </w:rPr>
        <w:t xml:space="preserve">In kje se odpira </w:t>
      </w:r>
      <w:r w:rsidR="00E73F6A" w:rsidRPr="00F92607">
        <w:rPr>
          <w:rFonts w:eastAsia="Times New Roman"/>
          <w:b/>
        </w:rPr>
        <w:t>»formalni«</w:t>
      </w:r>
      <w:r w:rsidR="00E73F6A" w:rsidRPr="00F92607">
        <w:rPr>
          <w:rFonts w:eastAsia="Times New Roman"/>
        </w:rPr>
        <w:t xml:space="preserve"> </w:t>
      </w:r>
      <w:r w:rsidRPr="00F92607">
        <w:rPr>
          <w:rFonts w:eastAsia="Times New Roman"/>
          <w:b/>
        </w:rPr>
        <w:t>pravni prostor</w:t>
      </w:r>
      <w:r w:rsidRPr="00F92607">
        <w:rPr>
          <w:rFonts w:eastAsia="Times New Roman"/>
        </w:rPr>
        <w:t xml:space="preserve"> za </w:t>
      </w:r>
      <w:r w:rsidR="009E589C" w:rsidRPr="00F92607">
        <w:rPr>
          <w:rFonts w:eastAsia="Times New Roman"/>
        </w:rPr>
        <w:t xml:space="preserve">takšno logično in namensko razlago? </w:t>
      </w:r>
    </w:p>
    <w:p w14:paraId="4AF84426" w14:textId="77777777" w:rsidR="005C2DB7" w:rsidRPr="00F92607" w:rsidRDefault="005C2DB7" w:rsidP="002169B6">
      <w:pPr>
        <w:tabs>
          <w:tab w:val="left" w:pos="3463"/>
        </w:tabs>
        <w:jc w:val="both"/>
        <w:rPr>
          <w:rFonts w:eastAsia="Times New Roman"/>
        </w:rPr>
      </w:pPr>
    </w:p>
    <w:p w14:paraId="315B395A" w14:textId="77777777" w:rsidR="008B45E6" w:rsidRPr="00F92607" w:rsidRDefault="009E589C" w:rsidP="002169B6">
      <w:pPr>
        <w:tabs>
          <w:tab w:val="left" w:pos="3463"/>
        </w:tabs>
        <w:jc w:val="both"/>
        <w:rPr>
          <w:b/>
        </w:rPr>
      </w:pPr>
      <w:r w:rsidRPr="00F92607">
        <w:rPr>
          <w:rFonts w:eastAsia="Times New Roman"/>
        </w:rPr>
        <w:t>V dejstvu, da</w:t>
      </w:r>
      <w:r w:rsidR="007B642B">
        <w:rPr>
          <w:rFonts w:eastAsia="Times New Roman"/>
        </w:rPr>
        <w:t xml:space="preserve"> </w:t>
      </w:r>
      <w:r w:rsidR="00F2201B" w:rsidRPr="00F92607">
        <w:t xml:space="preserve">določba 112. člena sama po sebi </w:t>
      </w:r>
      <w:r w:rsidR="00C119DF" w:rsidRPr="00F92607">
        <w:t>molči o tem</w:t>
      </w:r>
      <w:r w:rsidR="0045353B">
        <w:t>,</w:t>
      </w:r>
      <w:r w:rsidR="00C119DF" w:rsidRPr="00F92607">
        <w:t xml:space="preserve"> </w:t>
      </w:r>
      <w:r w:rsidR="00C119DF" w:rsidRPr="00F92607">
        <w:rPr>
          <w:b/>
        </w:rPr>
        <w:t>kdo in po kakšnem postopku</w:t>
      </w:r>
      <w:r w:rsidR="00C119DF" w:rsidRPr="00F92607">
        <w:t xml:space="preserve"> je pristojen za ugotavljanj</w:t>
      </w:r>
      <w:r w:rsidR="008B45E6" w:rsidRPr="00F92607">
        <w:t>e</w:t>
      </w:r>
      <w:r w:rsidR="00C119DF" w:rsidRPr="00F92607">
        <w:t xml:space="preserve"> dejanskega obstoja ali neobstoja očitanih kršitev kot procesne predpostavke za odpoved pogodbe o zaposlitvi delavskemu predstavniku</w:t>
      </w:r>
      <w:r w:rsidRPr="00F92607">
        <w:t xml:space="preserve">. </w:t>
      </w:r>
      <w:r w:rsidR="002169B6" w:rsidRPr="00F92607">
        <w:t>In točno v</w:t>
      </w:r>
      <w:r w:rsidRPr="00F92607">
        <w:t xml:space="preserve"> ta </w:t>
      </w:r>
      <w:r w:rsidR="00AE3301" w:rsidRPr="00F92607">
        <w:t xml:space="preserve">prazen </w:t>
      </w:r>
      <w:r w:rsidRPr="00F92607">
        <w:t>pravni prostor je mogoče</w:t>
      </w:r>
      <w:r w:rsidR="002169B6" w:rsidRPr="00F92607">
        <w:t xml:space="preserve">, smiselno </w:t>
      </w:r>
      <w:r w:rsidR="00332DBB" w:rsidRPr="00F92607">
        <w:t>(</w:t>
      </w:r>
      <w:r w:rsidR="002169B6" w:rsidRPr="00F92607">
        <w:t>in nujno</w:t>
      </w:r>
      <w:r w:rsidR="00332DBB" w:rsidRPr="00F92607">
        <w:t>)</w:t>
      </w:r>
      <w:r w:rsidR="002169B6" w:rsidRPr="00F92607">
        <w:t xml:space="preserve"> u</w:t>
      </w:r>
      <w:r w:rsidR="00C119DF" w:rsidRPr="00F92607">
        <w:t xml:space="preserve">mestiti </w:t>
      </w:r>
      <w:r w:rsidR="002169B6" w:rsidRPr="00F92607">
        <w:t>omenjeno</w:t>
      </w:r>
      <w:r w:rsidR="00C119DF" w:rsidRPr="00F92607">
        <w:t xml:space="preserve"> avtentično razlago </w:t>
      </w:r>
      <w:r w:rsidR="00332DBB" w:rsidRPr="00F92607">
        <w:t xml:space="preserve">tega člena ZDR-1, če naj bi ta dejansko sledil </w:t>
      </w:r>
      <w:r w:rsidR="00C119DF" w:rsidRPr="00F92607">
        <w:t xml:space="preserve">duhu 1. člena </w:t>
      </w:r>
      <w:r w:rsidR="00332DBB" w:rsidRPr="00F92607">
        <w:t xml:space="preserve">omenjene </w:t>
      </w:r>
      <w:r w:rsidR="00C119DF" w:rsidRPr="00F92607">
        <w:t>konvencije</w:t>
      </w:r>
      <w:r w:rsidR="00C119DF" w:rsidRPr="00F92607">
        <w:rPr>
          <w:b/>
        </w:rPr>
        <w:t>.</w:t>
      </w:r>
      <w:r w:rsidR="002169B6" w:rsidRPr="00F92607">
        <w:rPr>
          <w:b/>
        </w:rPr>
        <w:t xml:space="preserve"> </w:t>
      </w:r>
    </w:p>
    <w:p w14:paraId="13B3F97B" w14:textId="77777777" w:rsidR="008B45E6" w:rsidRPr="00F92607" w:rsidRDefault="008B45E6" w:rsidP="002169B6">
      <w:pPr>
        <w:tabs>
          <w:tab w:val="left" w:pos="3463"/>
        </w:tabs>
        <w:jc w:val="both"/>
        <w:rPr>
          <w:b/>
        </w:rPr>
      </w:pPr>
    </w:p>
    <w:p w14:paraId="7A76979B" w14:textId="77777777" w:rsidR="00F2201B" w:rsidRPr="00F92607" w:rsidRDefault="00C84F2E" w:rsidP="002169B6">
      <w:pPr>
        <w:tabs>
          <w:tab w:val="left" w:pos="3463"/>
        </w:tabs>
        <w:jc w:val="both"/>
      </w:pPr>
      <w:r w:rsidRPr="00F92607">
        <w:t>To pa je</w:t>
      </w:r>
      <w:r w:rsidR="004445BD" w:rsidRPr="00F92607">
        <w:t xml:space="preserve"> </w:t>
      </w:r>
      <w:r w:rsidR="008B45E6" w:rsidRPr="00F92607">
        <w:t xml:space="preserve">seveda </w:t>
      </w:r>
      <w:r w:rsidR="004445BD" w:rsidRPr="00F92607">
        <w:t>razlaga</w:t>
      </w:r>
      <w:r w:rsidRPr="00F92607">
        <w:t xml:space="preserve">, da mora biti </w:t>
      </w:r>
      <w:r w:rsidR="00F83BD4" w:rsidRPr="00F92607">
        <w:t xml:space="preserve">očitana domnevna </w:t>
      </w:r>
      <w:r w:rsidRPr="00F92607">
        <w:t xml:space="preserve">kršitev </w:t>
      </w:r>
      <w:r w:rsidR="004445BD" w:rsidRPr="00F92607">
        <w:t xml:space="preserve">delavskega predstavnika </w:t>
      </w:r>
      <w:r w:rsidRPr="00F92607">
        <w:t xml:space="preserve">najprej </w:t>
      </w:r>
      <w:r w:rsidRPr="00F92607">
        <w:rPr>
          <w:b/>
        </w:rPr>
        <w:t xml:space="preserve">objektivno, se pravi pravnomočno </w:t>
      </w:r>
      <w:r w:rsidR="00170120" w:rsidRPr="00F92607">
        <w:rPr>
          <w:b/>
        </w:rPr>
        <w:t>ugotovljena</w:t>
      </w:r>
      <w:r w:rsidR="00170120" w:rsidRPr="00F92607">
        <w:t xml:space="preserve"> (</w:t>
      </w:r>
      <w:r w:rsidR="004445BD" w:rsidRPr="00F92607">
        <w:t>tj.</w:t>
      </w:r>
      <w:r w:rsidR="00170120" w:rsidRPr="00F92607">
        <w:t xml:space="preserve"> ne zgolj s strani delodajalca po </w:t>
      </w:r>
      <w:r w:rsidR="004445BD" w:rsidRPr="00F92607">
        <w:lastRenderedPageBreak/>
        <w:t>»</w:t>
      </w:r>
      <w:proofErr w:type="spellStart"/>
      <w:r w:rsidR="004445BD" w:rsidRPr="00F92607">
        <w:t>kadijinem</w:t>
      </w:r>
      <w:proofErr w:type="spellEnd"/>
      <w:r w:rsidR="004445BD" w:rsidRPr="00F92607">
        <w:t xml:space="preserve"> načelu«)</w:t>
      </w:r>
      <w:r w:rsidRPr="00F92607">
        <w:t xml:space="preserve">, šele na tej podlagi pa lahko </w:t>
      </w:r>
      <w:r w:rsidR="00273355" w:rsidRPr="00F92607">
        <w:t xml:space="preserve">potem </w:t>
      </w:r>
      <w:r w:rsidRPr="00F92607">
        <w:t xml:space="preserve">delodajalec delavskemu predstavniku </w:t>
      </w:r>
      <w:r w:rsidR="00651DC3" w:rsidRPr="00F92607">
        <w:t xml:space="preserve">dejansko </w:t>
      </w:r>
      <w:r w:rsidR="009A560F" w:rsidRPr="00F92607">
        <w:t>utemeljeno poda odpoved pogodbe o zaposlitvi.</w:t>
      </w:r>
      <w:r w:rsidR="00F83BD4" w:rsidRPr="00F92607">
        <w:t xml:space="preserve"> Brez tega </w:t>
      </w:r>
      <w:r w:rsidR="00332DBB" w:rsidRPr="00F92607">
        <w:t xml:space="preserve">pa </w:t>
      </w:r>
      <w:r w:rsidR="00F83BD4" w:rsidRPr="00F92607">
        <w:t xml:space="preserve">je </w:t>
      </w:r>
      <w:r w:rsidR="00332DBB" w:rsidRPr="00F92607">
        <w:t xml:space="preserve">seveda </w:t>
      </w:r>
      <w:r w:rsidR="00F83BD4" w:rsidRPr="00F92607">
        <w:t xml:space="preserve">govoričenje o »posebnem« pravnem varstvu delavskih predstavnikov, kot rečeno, le </w:t>
      </w:r>
      <w:r w:rsidR="00F83BD4" w:rsidRPr="00F92607">
        <w:rPr>
          <w:b/>
        </w:rPr>
        <w:t>navadno »</w:t>
      </w:r>
      <w:r w:rsidR="00332DBB" w:rsidRPr="00F92607">
        <w:rPr>
          <w:b/>
        </w:rPr>
        <w:t xml:space="preserve">pravno </w:t>
      </w:r>
      <w:r w:rsidR="00F83BD4" w:rsidRPr="00F92607">
        <w:rPr>
          <w:b/>
        </w:rPr>
        <w:t>pleteničenje« in pesek v oči</w:t>
      </w:r>
      <w:r w:rsidR="00332DBB" w:rsidRPr="00F92607">
        <w:t>, ki ustvarja povsem lažen vtis nekakšne posebne zaščite teh predstavnikov v primerjavi z ostalimi delavci, ki pa je v resnici ni.</w:t>
      </w:r>
    </w:p>
    <w:p w14:paraId="32A310CB" w14:textId="77777777" w:rsidR="00341EB8" w:rsidRPr="00F92607" w:rsidRDefault="00341EB8" w:rsidP="002169B6">
      <w:pPr>
        <w:tabs>
          <w:tab w:val="left" w:pos="3463"/>
        </w:tabs>
        <w:jc w:val="both"/>
      </w:pPr>
    </w:p>
    <w:p w14:paraId="34C7FC69" w14:textId="77777777" w:rsidR="009A560F" w:rsidRPr="00F92607" w:rsidRDefault="00F83BD4" w:rsidP="00341EB8">
      <w:pPr>
        <w:tabs>
          <w:tab w:val="left" w:pos="3463"/>
        </w:tabs>
        <w:jc w:val="both"/>
      </w:pPr>
      <w:r w:rsidRPr="00F92607">
        <w:t xml:space="preserve">Iz navedenih razlogov </w:t>
      </w:r>
      <w:r w:rsidR="00341EB8" w:rsidRPr="00F92607">
        <w:t xml:space="preserve">v </w:t>
      </w:r>
      <w:r w:rsidR="00B76B10" w:rsidRPr="00F92607">
        <w:t xml:space="preserve">zgoraj </w:t>
      </w:r>
      <w:r w:rsidR="00341EB8" w:rsidRPr="00F92607">
        <w:t xml:space="preserve">predlagani razlagi konkretne sporne določbe ZDR-1 ni videti </w:t>
      </w:r>
      <w:r w:rsidR="009A560F" w:rsidRPr="00F92607">
        <w:t xml:space="preserve">prav </w:t>
      </w:r>
      <w:r w:rsidR="009A560F" w:rsidRPr="00F92607">
        <w:rPr>
          <w:b/>
        </w:rPr>
        <w:t xml:space="preserve">nobenega morebitnega </w:t>
      </w:r>
      <w:proofErr w:type="spellStart"/>
      <w:r w:rsidR="009A560F" w:rsidRPr="00F92607">
        <w:rPr>
          <w:b/>
        </w:rPr>
        <w:t>interpretacijskega</w:t>
      </w:r>
      <w:proofErr w:type="spellEnd"/>
      <w:r w:rsidR="009A560F" w:rsidRPr="00F92607">
        <w:rPr>
          <w:b/>
        </w:rPr>
        <w:t xml:space="preserve"> nasilja</w:t>
      </w:r>
      <w:r w:rsidR="00E651B1" w:rsidRPr="00F92607">
        <w:t xml:space="preserve"> nad zakonom, ampak </w:t>
      </w:r>
      <w:r w:rsidR="00341EB8" w:rsidRPr="00F92607">
        <w:t xml:space="preserve">ravno </w:t>
      </w:r>
      <w:r w:rsidR="00E651B1" w:rsidRPr="00F92607">
        <w:t>n</w:t>
      </w:r>
      <w:r w:rsidR="009A560F" w:rsidRPr="00F92607">
        <w:t>asprotno</w:t>
      </w:r>
      <w:r w:rsidR="00341EB8" w:rsidRPr="00F92607">
        <w:t>. S</w:t>
      </w:r>
      <w:r w:rsidR="009A560F" w:rsidRPr="00F92607">
        <w:t xml:space="preserve">amo na ta način je </w:t>
      </w:r>
      <w:r w:rsidR="00E651B1" w:rsidRPr="00F92607">
        <w:t xml:space="preserve">pravzaprav </w:t>
      </w:r>
      <w:r w:rsidR="009A560F" w:rsidRPr="00F92607">
        <w:t xml:space="preserve">mogoče zakon v tem pogledu </w:t>
      </w:r>
      <w:r w:rsidR="00341EB8" w:rsidRPr="00F92607">
        <w:t xml:space="preserve">sploh </w:t>
      </w:r>
      <w:r w:rsidR="009A560F" w:rsidRPr="00F92607">
        <w:t xml:space="preserve">narediti </w:t>
      </w:r>
      <w:r w:rsidR="00341EB8" w:rsidRPr="00F92607">
        <w:rPr>
          <w:b/>
        </w:rPr>
        <w:t xml:space="preserve">pravno logičnega </w:t>
      </w:r>
      <w:r w:rsidR="00341EB8" w:rsidRPr="00F92607">
        <w:t>in</w:t>
      </w:r>
      <w:r w:rsidR="00341EB8" w:rsidRPr="00F92607">
        <w:rPr>
          <w:b/>
        </w:rPr>
        <w:t xml:space="preserve"> </w:t>
      </w:r>
      <w:r w:rsidR="00341EB8" w:rsidRPr="00F92607">
        <w:t>dejansko skladnega</w:t>
      </w:r>
      <w:r w:rsidR="009A560F" w:rsidRPr="00F92607">
        <w:t xml:space="preserve"> z omenjeno mednarodno konvencijo</w:t>
      </w:r>
      <w:r w:rsidR="00527D64" w:rsidRPr="00F92607">
        <w:t xml:space="preserve"> v tem smislu, da </w:t>
      </w:r>
      <w:r w:rsidR="00C8187E" w:rsidRPr="00F92607">
        <w:t>dobi</w:t>
      </w:r>
      <w:r w:rsidR="00EE5C39" w:rsidRPr="00F92607">
        <w:t xml:space="preserve"> pojem </w:t>
      </w:r>
      <w:r w:rsidR="00527D64" w:rsidRPr="00F92607">
        <w:rPr>
          <w:b/>
        </w:rPr>
        <w:t>»posebn</w:t>
      </w:r>
      <w:r w:rsidR="00EE5C39" w:rsidRPr="00F92607">
        <w:rPr>
          <w:b/>
        </w:rPr>
        <w:t>o</w:t>
      </w:r>
      <w:r w:rsidR="00527D64" w:rsidRPr="00F92607">
        <w:rPr>
          <w:b/>
        </w:rPr>
        <w:t xml:space="preserve"> varstv</w:t>
      </w:r>
      <w:r w:rsidR="00EE5C39" w:rsidRPr="00F92607">
        <w:rPr>
          <w:b/>
        </w:rPr>
        <w:t>o«</w:t>
      </w:r>
      <w:r w:rsidR="00527D64" w:rsidRPr="00F92607">
        <w:t xml:space="preserve"> delavskih predstavnikov </w:t>
      </w:r>
      <w:r w:rsidR="00EE5C39" w:rsidRPr="00F92607">
        <w:t xml:space="preserve">tudi neko </w:t>
      </w:r>
      <w:r w:rsidR="00341EB8" w:rsidRPr="00F92607">
        <w:t>smiselno</w:t>
      </w:r>
      <w:r w:rsidR="00EE5C39" w:rsidRPr="00F92607">
        <w:t xml:space="preserve"> vsebino</w:t>
      </w:r>
      <w:r w:rsidR="009A560F" w:rsidRPr="00F92607">
        <w:t>.</w:t>
      </w:r>
    </w:p>
    <w:p w14:paraId="772B189D" w14:textId="77777777" w:rsidR="00527D64" w:rsidRPr="00F92607" w:rsidRDefault="00527D64" w:rsidP="005B2480">
      <w:pPr>
        <w:jc w:val="both"/>
      </w:pPr>
    </w:p>
    <w:p w14:paraId="4B5C4262" w14:textId="77777777" w:rsidR="00C84F2E" w:rsidRPr="00F92607" w:rsidRDefault="00527D64" w:rsidP="005B2480">
      <w:pPr>
        <w:jc w:val="both"/>
      </w:pPr>
      <w:r w:rsidRPr="00F92607">
        <w:t xml:space="preserve">Problem, o katerem razpravljamo, </w:t>
      </w:r>
      <w:r w:rsidR="000A20DA" w:rsidRPr="00F92607">
        <w:t xml:space="preserve">pa </w:t>
      </w:r>
      <w:r w:rsidRPr="00F92607">
        <w:t>bi bil</w:t>
      </w:r>
      <w:r w:rsidR="008B6CF2" w:rsidRPr="00F92607">
        <w:t xml:space="preserve"> z morebitnim sprejetjem predlagane avtentične razlage </w:t>
      </w:r>
      <w:r w:rsidR="00AD5284" w:rsidRPr="00F92607">
        <w:t xml:space="preserve">brez dvoma </w:t>
      </w:r>
      <w:r w:rsidR="00AD5284" w:rsidRPr="00F92607">
        <w:rPr>
          <w:b/>
        </w:rPr>
        <w:t>zelo</w:t>
      </w:r>
      <w:r w:rsidRPr="00F92607">
        <w:rPr>
          <w:b/>
        </w:rPr>
        <w:t xml:space="preserve"> učinkovito rešen</w:t>
      </w:r>
      <w:r w:rsidR="008B6CF2" w:rsidRPr="00F92607">
        <w:rPr>
          <w:b/>
        </w:rPr>
        <w:t xml:space="preserve">, </w:t>
      </w:r>
      <w:r w:rsidR="008B6CF2" w:rsidRPr="00F92607">
        <w:t>ne da bi to zahtevalo kakršneko</w:t>
      </w:r>
      <w:r w:rsidR="00C4383C" w:rsidRPr="00F92607">
        <w:t>li posege v veljavno zakonodajo</w:t>
      </w:r>
      <w:r w:rsidRPr="00F92607">
        <w:t>.</w:t>
      </w:r>
    </w:p>
    <w:p w14:paraId="2D6B937A" w14:textId="77777777" w:rsidR="008B6CF2" w:rsidRPr="00F92607" w:rsidRDefault="008B6CF2" w:rsidP="005B2480">
      <w:pPr>
        <w:jc w:val="both"/>
      </w:pPr>
    </w:p>
    <w:p w14:paraId="13057C0D" w14:textId="77777777" w:rsidR="00637684" w:rsidRPr="00F92607" w:rsidRDefault="00C4383C" w:rsidP="005B2480">
      <w:pPr>
        <w:jc w:val="both"/>
        <w:rPr>
          <w:b/>
        </w:rPr>
      </w:pPr>
      <w:r w:rsidRPr="00F92607">
        <w:rPr>
          <w:b/>
        </w:rPr>
        <w:t>Pravno (edino) logična interpretacija 85. člena ZDR-1</w:t>
      </w:r>
    </w:p>
    <w:p w14:paraId="5474B233" w14:textId="77777777" w:rsidR="00C4383C" w:rsidRPr="00F92607" w:rsidRDefault="00C4383C" w:rsidP="005B2480">
      <w:pPr>
        <w:jc w:val="both"/>
        <w:rPr>
          <w:b/>
        </w:rPr>
      </w:pPr>
    </w:p>
    <w:p w14:paraId="1BE52034" w14:textId="77777777" w:rsidR="00177714" w:rsidRPr="00F92607" w:rsidRDefault="00010F28" w:rsidP="005B2480">
      <w:pPr>
        <w:jc w:val="both"/>
      </w:pPr>
      <w:r w:rsidRPr="00F92607">
        <w:t xml:space="preserve">Še bistveno manj pa bi bila </w:t>
      </w:r>
      <w:r w:rsidR="00771E61" w:rsidRPr="00F92607">
        <w:t xml:space="preserve">seveda </w:t>
      </w:r>
      <w:r w:rsidRPr="00F92607">
        <w:t xml:space="preserve">pravno vprašljiva </w:t>
      </w:r>
      <w:r w:rsidR="00AD5284" w:rsidRPr="00F92607">
        <w:t xml:space="preserve">ustrezna </w:t>
      </w:r>
      <w:r w:rsidRPr="00F92607">
        <w:t xml:space="preserve">avtentična razlaga spornega </w:t>
      </w:r>
      <w:r w:rsidR="00570458" w:rsidRPr="00F92607">
        <w:rPr>
          <w:b/>
        </w:rPr>
        <w:t>prvega odstavka 85. člena ZDR-1</w:t>
      </w:r>
      <w:r w:rsidR="00570458" w:rsidRPr="00F92607">
        <w:t xml:space="preserve">, </w:t>
      </w:r>
      <w:r w:rsidR="005B0D7A" w:rsidRPr="00F92607">
        <w:t xml:space="preserve">s katero bi </w:t>
      </w:r>
      <w:r w:rsidR="000A20DA" w:rsidRPr="00F92607">
        <w:t>se</w:t>
      </w:r>
      <w:r w:rsidR="005B0D7A" w:rsidRPr="00F92607">
        <w:t xml:space="preserve"> izrecno dovol</w:t>
      </w:r>
      <w:r w:rsidR="000A20DA" w:rsidRPr="00F92607">
        <w:t>ila</w:t>
      </w:r>
      <w:r w:rsidR="005B0D7A" w:rsidRPr="00F92607">
        <w:t xml:space="preserve"> uporaba</w:t>
      </w:r>
      <w:r w:rsidR="000A20DA" w:rsidRPr="00F92607">
        <w:t xml:space="preserve"> ustreznih</w:t>
      </w:r>
      <w:r w:rsidR="00AD5284" w:rsidRPr="00F92607">
        <w:t xml:space="preserve"> </w:t>
      </w:r>
      <w:r w:rsidR="00570458" w:rsidRPr="00F92607">
        <w:t>pravn</w:t>
      </w:r>
      <w:r w:rsidR="00AD5284" w:rsidRPr="00F92607">
        <w:t>ih</w:t>
      </w:r>
      <w:r w:rsidR="00570458" w:rsidRPr="00F92607">
        <w:t xml:space="preserve"> sredst</w:t>
      </w:r>
      <w:r w:rsidR="00AD5284" w:rsidRPr="00F92607">
        <w:t>e</w:t>
      </w:r>
      <w:r w:rsidR="00570458" w:rsidRPr="00F92607">
        <w:t>v tudi zoper samo</w:t>
      </w:r>
      <w:r w:rsidR="00771E61" w:rsidRPr="00F92607">
        <w:t xml:space="preserve"> opozorilo pred redno odpovedjo.</w:t>
      </w:r>
      <w:r w:rsidR="007B642B">
        <w:t xml:space="preserve"> </w:t>
      </w:r>
      <w:r w:rsidR="00771E61" w:rsidRPr="00F92607">
        <w:t>Odrekanje tega varstva je namreč tako ali tako</w:t>
      </w:r>
      <w:r w:rsidR="00771E61" w:rsidRPr="00F92607">
        <w:rPr>
          <w:b/>
        </w:rPr>
        <w:t xml:space="preserve"> </w:t>
      </w:r>
      <w:r w:rsidR="00702DCA" w:rsidRPr="00F92607">
        <w:t xml:space="preserve">pravno </w:t>
      </w:r>
      <w:r w:rsidR="00771E61" w:rsidRPr="00F92607">
        <w:t xml:space="preserve">skonstruirala šele sodna praksa, ki pa jo je mogoče kadarkoli spremeniti. </w:t>
      </w:r>
      <w:r w:rsidR="000A20DA" w:rsidRPr="00F92607">
        <w:t>A</w:t>
      </w:r>
      <w:r w:rsidR="00177714" w:rsidRPr="00F92607">
        <w:t xml:space="preserve"> </w:t>
      </w:r>
      <w:r w:rsidR="00030FF4" w:rsidRPr="00F92607">
        <w:t xml:space="preserve">ker </w:t>
      </w:r>
      <w:r w:rsidR="00177714" w:rsidRPr="00F92607">
        <w:rPr>
          <w:b/>
        </w:rPr>
        <w:t xml:space="preserve">zakon sam </w:t>
      </w:r>
      <w:r w:rsidR="00815CE5" w:rsidRPr="00F92607">
        <w:rPr>
          <w:b/>
        </w:rPr>
        <w:t xml:space="preserve">tega </w:t>
      </w:r>
      <w:r w:rsidR="00177714" w:rsidRPr="00F92607">
        <w:rPr>
          <w:b/>
        </w:rPr>
        <w:t>ne določa</w:t>
      </w:r>
      <w:r w:rsidR="00030FF4" w:rsidRPr="00F92607">
        <w:rPr>
          <w:b/>
        </w:rPr>
        <w:t>,</w:t>
      </w:r>
      <w:r w:rsidR="00815CE5" w:rsidRPr="00F92607">
        <w:t xml:space="preserve"> </w:t>
      </w:r>
      <w:r w:rsidR="00177714" w:rsidRPr="00F92607">
        <w:t xml:space="preserve">vsaj za delavske predstavnike </w:t>
      </w:r>
      <w:r w:rsidR="00815CE5" w:rsidRPr="00F92607">
        <w:t xml:space="preserve">ta sodna praksa </w:t>
      </w:r>
      <w:r w:rsidR="00177714" w:rsidRPr="00F92607">
        <w:t xml:space="preserve">brez dvoma ne more </w:t>
      </w:r>
      <w:r w:rsidR="00526FEB" w:rsidRPr="00F92607">
        <w:t xml:space="preserve">oziroma v nobenem primeru ne bi smela </w:t>
      </w:r>
      <w:r w:rsidR="00815CE5" w:rsidRPr="00F92607">
        <w:t>biti merodajna</w:t>
      </w:r>
      <w:r w:rsidR="00177714" w:rsidRPr="00F92607">
        <w:t>.</w:t>
      </w:r>
    </w:p>
    <w:p w14:paraId="40111DEB" w14:textId="77777777" w:rsidR="00177714" w:rsidRPr="00F92607" w:rsidRDefault="00177714" w:rsidP="005B2480">
      <w:pPr>
        <w:jc w:val="both"/>
      </w:pPr>
    </w:p>
    <w:p w14:paraId="6BB58E98" w14:textId="77777777" w:rsidR="00370DE0" w:rsidRPr="00F92607" w:rsidRDefault="00CD7C41" w:rsidP="005B2480">
      <w:pPr>
        <w:jc w:val="both"/>
      </w:pPr>
      <w:r w:rsidRPr="00F92607">
        <w:t xml:space="preserve">Govorimo seveda o </w:t>
      </w:r>
      <w:r w:rsidR="008A1885" w:rsidRPr="00F92607">
        <w:t xml:space="preserve">spornem </w:t>
      </w:r>
      <w:r w:rsidRPr="00F92607">
        <w:t>načelnem stališču</w:t>
      </w:r>
      <w:r w:rsidR="008A1885" w:rsidRPr="00F92607">
        <w:t xml:space="preserve"> aktualne sodne prakse</w:t>
      </w:r>
      <w:r w:rsidRPr="00F92607">
        <w:t xml:space="preserve">, da tovrstno opozorilo za delavca še nima nobenih pravnih posledic, in da torej sploh še niti </w:t>
      </w:r>
      <w:r w:rsidR="008A1885" w:rsidRPr="00F92607">
        <w:t>ne more</w:t>
      </w:r>
      <w:r w:rsidR="00C92FD2" w:rsidRPr="00F92607">
        <w:t>mo</w:t>
      </w:r>
      <w:r w:rsidRPr="00F92607">
        <w:t xml:space="preserve"> govoriti o kaki mož</w:t>
      </w:r>
      <w:r w:rsidR="008A1885" w:rsidRPr="00F92607">
        <w:t xml:space="preserve">ni </w:t>
      </w:r>
      <w:r w:rsidR="00C92FD2" w:rsidRPr="00F92607">
        <w:t>»</w:t>
      </w:r>
      <w:r w:rsidR="008A1885" w:rsidRPr="00F92607">
        <w:t>kršitvi</w:t>
      </w:r>
      <w:r w:rsidR="00C92FD2" w:rsidRPr="00F92607">
        <w:t xml:space="preserve">« </w:t>
      </w:r>
      <w:r w:rsidR="008A1885" w:rsidRPr="00F92607">
        <w:t xml:space="preserve">s strani delodajalca, zaradi </w:t>
      </w:r>
      <w:r w:rsidR="00D85B4B" w:rsidRPr="00F92607">
        <w:t xml:space="preserve">česar naj se delavcu </w:t>
      </w:r>
      <w:r w:rsidR="008A1885" w:rsidRPr="00F92607">
        <w:t>zoper takšno opozorilo sploh n</w:t>
      </w:r>
      <w:r w:rsidR="00D85B4B" w:rsidRPr="00F92607">
        <w:t>e bi bilo</w:t>
      </w:r>
      <w:r w:rsidR="008A1885" w:rsidRPr="00F92607">
        <w:t xml:space="preserve"> mogoče nikomur in nikamor pritožiti</w:t>
      </w:r>
      <w:r w:rsidR="008B4026">
        <w:t>.</w:t>
      </w:r>
      <w:r w:rsidRPr="00F92607">
        <w:t xml:space="preserve"> Gre </w:t>
      </w:r>
      <w:r w:rsidR="00C92FD2" w:rsidRPr="00F92607">
        <w:t>kajpak</w:t>
      </w:r>
      <w:r w:rsidRPr="00F92607">
        <w:t xml:space="preserve"> za naravnost </w:t>
      </w:r>
      <w:r w:rsidRPr="00F92607">
        <w:rPr>
          <w:b/>
        </w:rPr>
        <w:t>neverjeten pravni nesmisel</w:t>
      </w:r>
      <w:r w:rsidRPr="00F92607">
        <w:t xml:space="preserve">. Če je to opozorilo neutemeljeno, namreč </w:t>
      </w:r>
      <w:r w:rsidR="00180A8C" w:rsidRPr="00F92607">
        <w:t xml:space="preserve">že samo po sebi </w:t>
      </w:r>
      <w:r w:rsidRPr="00F92607">
        <w:t xml:space="preserve">pomeni </w:t>
      </w:r>
      <w:r w:rsidR="00C92FD2" w:rsidRPr="00F92607">
        <w:t xml:space="preserve">(najmanj) </w:t>
      </w:r>
      <w:r w:rsidRPr="00F92607">
        <w:t xml:space="preserve">hudo žalitev za delavca. In ljudje, ki jim delodajalec poda takšno (neutemeljeno) </w:t>
      </w:r>
      <w:r w:rsidR="00C92FD2" w:rsidRPr="00F92607">
        <w:t>»opozorilo«</w:t>
      </w:r>
      <w:r w:rsidR="0089022B">
        <w:t>,</w:t>
      </w:r>
      <w:r w:rsidR="00C92FD2" w:rsidRPr="00F92607">
        <w:t xml:space="preserve"> </w:t>
      </w:r>
      <w:r w:rsidR="00180A8C" w:rsidRPr="00F92607">
        <w:t>so lahko z nj</w:t>
      </w:r>
      <w:r w:rsidR="00C92FD2" w:rsidRPr="00F92607">
        <w:t>im</w:t>
      </w:r>
      <w:r w:rsidR="00180A8C" w:rsidRPr="00F92607">
        <w:t xml:space="preserve"> tudi zelo hudo osebno prizadeti. A le na kakšni podlagi naj bi pravo dopuščalo tovrstne samovoljne</w:t>
      </w:r>
      <w:r w:rsidR="00556F53" w:rsidRPr="00F92607">
        <w:t xml:space="preserve">, obenem pa povsem </w:t>
      </w:r>
      <w:proofErr w:type="spellStart"/>
      <w:r w:rsidR="00556F53" w:rsidRPr="00F92607">
        <w:t>nesankcionirane</w:t>
      </w:r>
      <w:proofErr w:type="spellEnd"/>
      <w:r w:rsidR="00180A8C" w:rsidRPr="00F92607">
        <w:t xml:space="preserve"> posege delodajalcev</w:t>
      </w:r>
      <w:r w:rsidR="00556F53" w:rsidRPr="00F92607">
        <w:t xml:space="preserve"> v osebno dostojanstvo delavcev? Dvomim, da bi znal kateri od sodnikov, ki so si izmislili ta pravni nesmisel, to</w:t>
      </w:r>
      <w:r w:rsidR="00C92FD2" w:rsidRPr="00F92607">
        <w:t xml:space="preserve"> tudi</w:t>
      </w:r>
      <w:r w:rsidR="00556F53" w:rsidRPr="00F92607">
        <w:t xml:space="preserve"> zares prepričljivo utemeljiti.</w:t>
      </w:r>
      <w:r w:rsidR="00180A8C" w:rsidRPr="00F92607">
        <w:t xml:space="preserve"> </w:t>
      </w:r>
    </w:p>
    <w:p w14:paraId="2F2C4F56" w14:textId="77777777" w:rsidR="00D85B4B" w:rsidRPr="00F92607" w:rsidRDefault="00D85B4B" w:rsidP="005B2480">
      <w:pPr>
        <w:jc w:val="both"/>
      </w:pPr>
    </w:p>
    <w:p w14:paraId="51EC624B" w14:textId="77777777" w:rsidR="00817259" w:rsidRPr="00F92607" w:rsidRDefault="00D85B4B" w:rsidP="005B2480">
      <w:pPr>
        <w:jc w:val="both"/>
      </w:pPr>
      <w:r w:rsidRPr="00F92607">
        <w:t xml:space="preserve">Predvsem pa je v zvezi s tem bistveno dejstvo, da je s trenutkom vročitve takšnega </w:t>
      </w:r>
      <w:r w:rsidR="007B642B">
        <w:t>–</w:t>
      </w:r>
      <w:r w:rsidRPr="00F92607">
        <w:t xml:space="preserve"> </w:t>
      </w:r>
      <w:r w:rsidR="00817259" w:rsidRPr="00F92607">
        <w:t xml:space="preserve">čeprav lahko tudi </w:t>
      </w:r>
      <w:r w:rsidRPr="00F92607">
        <w:t xml:space="preserve">povsem neutemeljenega </w:t>
      </w:r>
      <w:r w:rsidR="007B642B">
        <w:t>–</w:t>
      </w:r>
      <w:r w:rsidRPr="00F92607">
        <w:t xml:space="preserve"> opozorila izpolnjena </w:t>
      </w:r>
      <w:r w:rsidRPr="00F92607">
        <w:rPr>
          <w:b/>
        </w:rPr>
        <w:t xml:space="preserve">formalna procesna predpostavka za </w:t>
      </w:r>
      <w:r w:rsidR="00817259" w:rsidRPr="00F92607">
        <w:rPr>
          <w:b/>
        </w:rPr>
        <w:t xml:space="preserve">redno </w:t>
      </w:r>
      <w:r w:rsidRPr="00F92607">
        <w:rPr>
          <w:b/>
        </w:rPr>
        <w:t>odpoved pogodbe o zaposlitvi</w:t>
      </w:r>
      <w:r w:rsidRPr="00F92607">
        <w:t xml:space="preserve"> ob kakršnikoli </w:t>
      </w:r>
      <w:r w:rsidR="007B642B">
        <w:t>–</w:t>
      </w:r>
      <w:r w:rsidRPr="00F92607">
        <w:t xml:space="preserve"> </w:t>
      </w:r>
      <w:proofErr w:type="spellStart"/>
      <w:r w:rsidRPr="00F92607">
        <w:t>makar</w:t>
      </w:r>
      <w:proofErr w:type="spellEnd"/>
      <w:r w:rsidRPr="00F92607">
        <w:t xml:space="preserve"> ponovno </w:t>
      </w:r>
      <w:r w:rsidR="00653418" w:rsidRPr="00F92607">
        <w:t xml:space="preserve">povsem </w:t>
      </w:r>
      <w:r w:rsidRPr="00F92607">
        <w:t xml:space="preserve">neutemeljeno očitani </w:t>
      </w:r>
      <w:r w:rsidR="007B642B">
        <w:t>–</w:t>
      </w:r>
      <w:r w:rsidRPr="00F92607">
        <w:t xml:space="preserve"> kršitvi</w:t>
      </w:r>
      <w:r w:rsidR="00653418" w:rsidRPr="00F92607">
        <w:t xml:space="preserve">. </w:t>
      </w:r>
      <w:r w:rsidR="00817259" w:rsidRPr="00F92607">
        <w:t xml:space="preserve">In delavski predstavnik je v takšnem primeru spet vezan le na </w:t>
      </w:r>
      <w:r w:rsidR="00817259" w:rsidRPr="00F92607">
        <w:rPr>
          <w:i/>
        </w:rPr>
        <w:t xml:space="preserve">»kurativno« </w:t>
      </w:r>
      <w:r w:rsidR="00817259" w:rsidRPr="00F92607">
        <w:t>sodno varstvo. Ob</w:t>
      </w:r>
      <w:r w:rsidR="00370DE0" w:rsidRPr="00F92607">
        <w:t xml:space="preserve"> tem pa je seveda jasno, da v primeru delavskih predstavnikov tovrstna opozorila lahko pomenijo njihovo nadvse učinkovito </w:t>
      </w:r>
      <w:r w:rsidR="00370DE0" w:rsidRPr="00F92607">
        <w:rPr>
          <w:b/>
        </w:rPr>
        <w:t>zastraševanje in »discipliniranje«</w:t>
      </w:r>
      <w:r w:rsidR="00653418" w:rsidRPr="00F92607">
        <w:t xml:space="preserve"> </w:t>
      </w:r>
      <w:r w:rsidR="00C92FD2" w:rsidRPr="00F92607">
        <w:t xml:space="preserve">v zvezi z </w:t>
      </w:r>
      <w:r w:rsidR="00653418" w:rsidRPr="00F92607">
        <w:t>opravljanj</w:t>
      </w:r>
      <w:r w:rsidR="00C92FD2" w:rsidRPr="00F92607">
        <w:t>em</w:t>
      </w:r>
      <w:r w:rsidR="00653418" w:rsidRPr="00F92607">
        <w:t xml:space="preserve"> teh funkcij, ne pri njihovem rednem delu. </w:t>
      </w:r>
    </w:p>
    <w:p w14:paraId="7483BF18" w14:textId="77777777" w:rsidR="00817259" w:rsidRPr="00F92607" w:rsidRDefault="00817259" w:rsidP="005B2480">
      <w:pPr>
        <w:jc w:val="both"/>
      </w:pPr>
    </w:p>
    <w:p w14:paraId="7D46F27A" w14:textId="77777777" w:rsidR="00CD7C41" w:rsidRPr="00F92607" w:rsidRDefault="00653418" w:rsidP="005B2480">
      <w:pPr>
        <w:jc w:val="both"/>
      </w:pPr>
      <w:r w:rsidRPr="00F92607">
        <w:t xml:space="preserve">In v tem je problem, ki ga je treba </w:t>
      </w:r>
      <w:r w:rsidR="007B642B">
        <w:t>–</w:t>
      </w:r>
      <w:r w:rsidRPr="00F92607">
        <w:t xml:space="preserve"> vsaj v zvezi z delavskimi predstavniki </w:t>
      </w:r>
      <w:r w:rsidR="007B642B">
        <w:t>–</w:t>
      </w:r>
      <w:r w:rsidRPr="00F92607">
        <w:t xml:space="preserve"> nujno rešiti</w:t>
      </w:r>
      <w:r w:rsidR="00C92FD2" w:rsidRPr="00F92607">
        <w:t xml:space="preserve">. To pa je </w:t>
      </w:r>
      <w:r w:rsidR="007B642B">
        <w:t>–</w:t>
      </w:r>
      <w:r w:rsidR="00C92FD2" w:rsidRPr="00F92607">
        <w:t xml:space="preserve"> razen z morebitno spremembo zakona </w:t>
      </w:r>
      <w:r w:rsidR="007B642B">
        <w:t>–</w:t>
      </w:r>
      <w:r w:rsidR="00C92FD2" w:rsidRPr="00F92607">
        <w:t xml:space="preserve"> možno tudi </w:t>
      </w:r>
      <w:r w:rsidRPr="00F92607">
        <w:t xml:space="preserve">z </w:t>
      </w:r>
      <w:r w:rsidR="00C92FD2" w:rsidRPr="00F92607">
        <w:t xml:space="preserve">ustrezno </w:t>
      </w:r>
      <w:r w:rsidRPr="00F92607">
        <w:t>avtentično razlago zakona, ki bo izrecno dovoljevala uporabo ustreznih pravnih sredstev že zoper samo opozorilo, ne šele zoper morebitno odpoved na tej podlagi.</w:t>
      </w:r>
      <w:r w:rsidR="00170E1D" w:rsidRPr="00F92607">
        <w:t xml:space="preserve"> Nobenemu členu veljavnega ZDR-1 pa s takšno razlago ne bi bila storjena »sila«.</w:t>
      </w:r>
    </w:p>
    <w:p w14:paraId="25D12EC7" w14:textId="77777777" w:rsidR="00CD7C41" w:rsidRPr="00F92607" w:rsidRDefault="00CD7C41" w:rsidP="005B2480">
      <w:pPr>
        <w:jc w:val="both"/>
      </w:pPr>
    </w:p>
    <w:p w14:paraId="64FC56E4" w14:textId="77777777" w:rsidR="00087464" w:rsidRPr="00F92607" w:rsidRDefault="00771E61" w:rsidP="005B2480">
      <w:pPr>
        <w:jc w:val="both"/>
        <w:rPr>
          <w:b/>
        </w:rPr>
      </w:pPr>
      <w:r w:rsidRPr="00F92607">
        <w:lastRenderedPageBreak/>
        <w:t>A</w:t>
      </w:r>
      <w:r w:rsidR="00C4383C" w:rsidRPr="00F92607">
        <w:t xml:space="preserve"> </w:t>
      </w:r>
      <w:r w:rsidRPr="00F92607">
        <w:t>sam</w:t>
      </w:r>
      <w:r w:rsidR="00702DCA" w:rsidRPr="00F92607">
        <w:t>a</w:t>
      </w:r>
      <w:r w:rsidRPr="00F92607">
        <w:t xml:space="preserve"> po sebi, </w:t>
      </w:r>
      <w:r w:rsidR="00AD5284" w:rsidRPr="00F92607">
        <w:t xml:space="preserve">se pravi </w:t>
      </w:r>
      <w:r w:rsidRPr="00F92607">
        <w:t xml:space="preserve">brez takšne avtentične razlage zakona s strani DZ, se </w:t>
      </w:r>
      <w:r w:rsidR="008B3508" w:rsidRPr="00F92607">
        <w:t>omenjena</w:t>
      </w:r>
      <w:r w:rsidR="00556F53" w:rsidRPr="00F92607">
        <w:t xml:space="preserve"> </w:t>
      </w:r>
      <w:r w:rsidR="005D5771" w:rsidRPr="00F92607">
        <w:t>sporna</w:t>
      </w:r>
      <w:r w:rsidR="00556F53" w:rsidRPr="00F92607">
        <w:t xml:space="preserve"> (in to ne samo glede delavskih predstavnikov, ampak tudi na splošno) sodna praksa, ki brez dvoma ne bi nikoli prestala neke temeljite kritične pravne presoje, </w:t>
      </w:r>
      <w:r w:rsidR="008B3508" w:rsidRPr="00F92607">
        <w:t>ker v samem besedilu zakona preprosto sploh nima prav nobene podlage,</w:t>
      </w:r>
      <w:r w:rsidR="00684B5F" w:rsidRPr="00F92607">
        <w:t xml:space="preserve"> </w:t>
      </w:r>
      <w:r w:rsidR="00C4383C" w:rsidRPr="00F92607">
        <w:rPr>
          <w:b/>
        </w:rPr>
        <w:t>zagotovo ne bo</w:t>
      </w:r>
      <w:r w:rsidR="00556F53" w:rsidRPr="00F92607">
        <w:rPr>
          <w:b/>
        </w:rPr>
        <w:t xml:space="preserve"> spremenila</w:t>
      </w:r>
      <w:r w:rsidR="008110B5" w:rsidRPr="00F92607">
        <w:rPr>
          <w:b/>
        </w:rPr>
        <w:t xml:space="preserve">. </w:t>
      </w:r>
    </w:p>
    <w:p w14:paraId="3F9E576C" w14:textId="77777777" w:rsidR="00370DE0" w:rsidRPr="00F92607" w:rsidRDefault="008110B5" w:rsidP="005B2480">
      <w:pPr>
        <w:jc w:val="both"/>
      </w:pPr>
      <w:r w:rsidRPr="00F92607">
        <w:t xml:space="preserve">Intervenirati </w:t>
      </w:r>
      <w:r w:rsidR="008A5C4A" w:rsidRPr="00F92607">
        <w:t xml:space="preserve">mora torej nujno Državni zbor, kajti tega problema ne more rešiti nihče drug. Izgovarjanje na Inšpektorat za delo, ki v tem pogledu nima prav nikakršnih </w:t>
      </w:r>
      <w:r w:rsidR="005D5771" w:rsidRPr="00F92607">
        <w:t xml:space="preserve">resnih </w:t>
      </w:r>
      <w:r w:rsidR="008A5C4A" w:rsidRPr="00F92607">
        <w:t xml:space="preserve">pooblastil za učinkovito ukrepanje, pa je seveda </w:t>
      </w:r>
      <w:r w:rsidR="008A5C4A" w:rsidRPr="00F92607">
        <w:rPr>
          <w:b/>
        </w:rPr>
        <w:t>čisto sprenevedanje</w:t>
      </w:r>
      <w:r w:rsidR="008A5C4A" w:rsidRPr="00F92607">
        <w:t>.</w:t>
      </w:r>
    </w:p>
    <w:p w14:paraId="388CA7F8" w14:textId="77777777" w:rsidR="00370DE0" w:rsidRPr="00F92607" w:rsidRDefault="00370DE0" w:rsidP="005B2480">
      <w:pPr>
        <w:jc w:val="both"/>
      </w:pPr>
    </w:p>
    <w:p w14:paraId="0714B7DA" w14:textId="77777777" w:rsidR="005D5771" w:rsidRPr="00F92607" w:rsidRDefault="005D5771" w:rsidP="005D5771">
      <w:pPr>
        <w:jc w:val="both"/>
        <w:rPr>
          <w:b/>
        </w:rPr>
      </w:pPr>
      <w:r w:rsidRPr="00F92607">
        <w:rPr>
          <w:b/>
        </w:rPr>
        <w:t xml:space="preserve">Konkretni predlog </w:t>
      </w:r>
      <w:r w:rsidR="00856FBF" w:rsidRPr="00F92607">
        <w:rPr>
          <w:b/>
        </w:rPr>
        <w:t>besedila</w:t>
      </w:r>
      <w:r w:rsidRPr="00F92607">
        <w:rPr>
          <w:b/>
        </w:rPr>
        <w:t xml:space="preserve"> avtentičn</w:t>
      </w:r>
      <w:r w:rsidR="00856FBF" w:rsidRPr="00F92607">
        <w:rPr>
          <w:b/>
        </w:rPr>
        <w:t>e</w:t>
      </w:r>
      <w:r w:rsidRPr="00F92607">
        <w:rPr>
          <w:b/>
        </w:rPr>
        <w:t xml:space="preserve"> razlag</w:t>
      </w:r>
      <w:r w:rsidR="00856FBF" w:rsidRPr="00F92607">
        <w:rPr>
          <w:b/>
        </w:rPr>
        <w:t>e</w:t>
      </w:r>
      <w:r w:rsidRPr="00F92607">
        <w:rPr>
          <w:b/>
        </w:rPr>
        <w:t xml:space="preserve"> ZDR-1</w:t>
      </w:r>
    </w:p>
    <w:p w14:paraId="40DDE91B" w14:textId="77777777" w:rsidR="005D5771" w:rsidRPr="00F92607" w:rsidRDefault="005D5771" w:rsidP="005B2480">
      <w:pPr>
        <w:jc w:val="both"/>
      </w:pPr>
    </w:p>
    <w:p w14:paraId="1C449285" w14:textId="77777777" w:rsidR="00912038" w:rsidRPr="00F92607" w:rsidRDefault="008A5C4A" w:rsidP="005B2480">
      <w:pPr>
        <w:jc w:val="both"/>
      </w:pPr>
      <w:r w:rsidRPr="00F92607">
        <w:t>Naj</w:t>
      </w:r>
      <w:r w:rsidR="007B642B">
        <w:t xml:space="preserve"> </w:t>
      </w:r>
      <w:r w:rsidR="007275AF" w:rsidRPr="00F92607">
        <w:t xml:space="preserve">torej </w:t>
      </w:r>
      <w:r w:rsidR="003517DF" w:rsidRPr="00F92607">
        <w:t>zaključim</w:t>
      </w:r>
      <w:r w:rsidR="005D5771" w:rsidRPr="00F92607">
        <w:t>o</w:t>
      </w:r>
      <w:r w:rsidR="003517DF" w:rsidRPr="00F92607">
        <w:t xml:space="preserve"> z mislijo, da</w:t>
      </w:r>
      <w:r w:rsidRPr="00F92607">
        <w:t xml:space="preserve"> je Konvencija MOD št. 135 o varstvu in olajšavah za delavske predstavnike v tem trenutku (tako prek do</w:t>
      </w:r>
      <w:r w:rsidR="007D41B4" w:rsidRPr="00F92607">
        <w:t>ločil 112. člena kot tudi</w:t>
      </w:r>
      <w:r w:rsidR="007B642B">
        <w:t xml:space="preserve"> </w:t>
      </w:r>
      <w:r w:rsidRPr="00F92607">
        <w:t>85. člena ZDR-1)</w:t>
      </w:r>
      <w:r w:rsidR="00D917CC" w:rsidRPr="00F92607">
        <w:t xml:space="preserve"> brez slehernega dvoma</w:t>
      </w:r>
      <w:r w:rsidRPr="00F92607">
        <w:t xml:space="preserve"> </w:t>
      </w:r>
      <w:r w:rsidRPr="00F92607">
        <w:rPr>
          <w:b/>
        </w:rPr>
        <w:t>izrazito poman</w:t>
      </w:r>
      <w:r w:rsidR="00912038" w:rsidRPr="00F92607">
        <w:rPr>
          <w:b/>
        </w:rPr>
        <w:t>j</w:t>
      </w:r>
      <w:r w:rsidRPr="00F92607">
        <w:rPr>
          <w:b/>
        </w:rPr>
        <w:t>kljivo</w:t>
      </w:r>
      <w:r w:rsidR="00912038" w:rsidRPr="00F92607">
        <w:rPr>
          <w:b/>
        </w:rPr>
        <w:t xml:space="preserve"> </w:t>
      </w:r>
      <w:r w:rsidR="00D917CC" w:rsidRPr="00F92607">
        <w:rPr>
          <w:b/>
        </w:rPr>
        <w:t xml:space="preserve">in nepopolno </w:t>
      </w:r>
      <w:r w:rsidR="00912038" w:rsidRPr="00F92607">
        <w:rPr>
          <w:b/>
        </w:rPr>
        <w:t>implementirana v slovensko zakonodajo</w:t>
      </w:r>
      <w:r w:rsidR="00912038" w:rsidRPr="00F92607">
        <w:t xml:space="preserve">, a je ta problem </w:t>
      </w:r>
      <w:r w:rsidR="007B642B">
        <w:t>–</w:t>
      </w:r>
      <w:r w:rsidR="00912038" w:rsidRPr="00F92607">
        <w:t xml:space="preserve"> ob že omenjeni predpostavki, da je ta konvencija, vključno z njenim 1. členom integralni del slovenskega nacionalnega pravnega reda </w:t>
      </w:r>
      <w:r w:rsidR="007B642B">
        <w:t>–</w:t>
      </w:r>
      <w:r w:rsidR="00912038" w:rsidRPr="00F92607">
        <w:t xml:space="preserve"> vsekakor </w:t>
      </w:r>
      <w:r w:rsidR="00D917CC" w:rsidRPr="00F92607">
        <w:t xml:space="preserve">lahko zelo učinkovito </w:t>
      </w:r>
      <w:r w:rsidR="00912038" w:rsidRPr="00F92607">
        <w:rPr>
          <w:b/>
        </w:rPr>
        <w:t xml:space="preserve">rešljiv </w:t>
      </w:r>
      <w:r w:rsidR="00D917CC" w:rsidRPr="00F92607">
        <w:rPr>
          <w:b/>
        </w:rPr>
        <w:t xml:space="preserve">tudi </w:t>
      </w:r>
      <w:r w:rsidR="00912038" w:rsidRPr="00F92607">
        <w:rPr>
          <w:b/>
        </w:rPr>
        <w:t>zgolj z ustrezno avtentično razlago brez njenega nepotrebnega spreminjanja</w:t>
      </w:r>
      <w:r w:rsidR="00912038" w:rsidRPr="00F92607">
        <w:t>.</w:t>
      </w:r>
    </w:p>
    <w:p w14:paraId="0DB5A667" w14:textId="77777777" w:rsidR="00D917CC" w:rsidRPr="00F92607" w:rsidRDefault="00D917CC" w:rsidP="005B2480">
      <w:pPr>
        <w:jc w:val="both"/>
      </w:pPr>
    </w:p>
    <w:p w14:paraId="0CBD65BC" w14:textId="77777777" w:rsidR="00D73684" w:rsidRPr="00F92607" w:rsidRDefault="00D73684" w:rsidP="00D73684">
      <w:pPr>
        <w:pStyle w:val="Navadensplet"/>
        <w:spacing w:before="0" w:beforeAutospacing="0" w:after="0" w:afterAutospacing="0"/>
        <w:jc w:val="both"/>
      </w:pPr>
      <w:r w:rsidRPr="00F92607">
        <w:t xml:space="preserve">Na osnovi povedanega </w:t>
      </w:r>
      <w:r w:rsidR="00F83BD4" w:rsidRPr="00F92607">
        <w:t>Združenje svetov delavcev Slovenije predlaga v razmislek Državnemu zboru naslednje</w:t>
      </w:r>
      <w:r w:rsidRPr="00F92607">
        <w:rPr>
          <w:b/>
        </w:rPr>
        <w:t xml:space="preserve"> </w:t>
      </w:r>
      <w:r w:rsidRPr="00F92607">
        <w:t>besedilo avtentične razlage določb prvega odstavka 112. člena ZDR in prvega odstavka 85. člena ZDR-1:</w:t>
      </w:r>
    </w:p>
    <w:p w14:paraId="58F48622" w14:textId="77777777" w:rsidR="00D73684" w:rsidRPr="00F92607" w:rsidRDefault="00D73684" w:rsidP="00D73684">
      <w:pPr>
        <w:pStyle w:val="Navadensplet"/>
        <w:spacing w:before="0" w:beforeAutospacing="0" w:after="0" w:afterAutospacing="0"/>
        <w:jc w:val="both"/>
        <w:rPr>
          <w:b/>
          <w:sz w:val="28"/>
          <w:szCs w:val="28"/>
        </w:rPr>
      </w:pPr>
    </w:p>
    <w:p w14:paraId="37CA9FF7" w14:textId="77777777" w:rsidR="00D73684" w:rsidRPr="00F92607" w:rsidRDefault="00D73684" w:rsidP="00D73684">
      <w:pPr>
        <w:pStyle w:val="Navadensplet"/>
        <w:spacing w:before="0" w:beforeAutospacing="0" w:after="0" w:afterAutospacing="0"/>
        <w:jc w:val="center"/>
        <w:rPr>
          <w:b/>
          <w:sz w:val="28"/>
          <w:szCs w:val="28"/>
        </w:rPr>
      </w:pPr>
      <w:r w:rsidRPr="00F92607">
        <w:rPr>
          <w:b/>
          <w:sz w:val="28"/>
          <w:szCs w:val="28"/>
        </w:rPr>
        <w:t>I.</w:t>
      </w:r>
    </w:p>
    <w:p w14:paraId="7367A9DC" w14:textId="77777777" w:rsidR="00D73684" w:rsidRPr="00F92607" w:rsidRDefault="00D73684" w:rsidP="00D73684">
      <w:pPr>
        <w:pStyle w:val="Navadensplet"/>
        <w:spacing w:before="0" w:beforeAutospacing="0" w:after="0" w:afterAutospacing="0"/>
        <w:jc w:val="both"/>
        <w:rPr>
          <w:i/>
        </w:rPr>
      </w:pPr>
      <w:r w:rsidRPr="00F92607">
        <w:rPr>
          <w:i/>
        </w:rPr>
        <w:t xml:space="preserve">Določbo prvega odstavka 112. člena Zakona o delovnih razmerjih (Uradni list RS, št. 21/2013) je treba v delu, ki se glasi »če ravna v skladu z zakonom, kolektivno pogodbo in pogodbo o zaposlitvi«, </w:t>
      </w:r>
      <w:r w:rsidR="000E7F04" w:rsidRPr="00F92607">
        <w:rPr>
          <w:i/>
        </w:rPr>
        <w:t>razlagati</w:t>
      </w:r>
      <w:r w:rsidRPr="00F92607">
        <w:rPr>
          <w:i/>
        </w:rPr>
        <w:t xml:space="preserve"> tako, da </w:t>
      </w:r>
      <w:r w:rsidR="00570458" w:rsidRPr="00F92607">
        <w:rPr>
          <w:i/>
        </w:rPr>
        <w:t xml:space="preserve">je </w:t>
      </w:r>
      <w:r w:rsidR="00F862FB" w:rsidRPr="00F92607">
        <w:rPr>
          <w:i/>
        </w:rPr>
        <w:t xml:space="preserve">lahko </w:t>
      </w:r>
      <w:r w:rsidRPr="00F92607">
        <w:rPr>
          <w:i/>
        </w:rPr>
        <w:t>redna odpoved pogodbe o zaposlitvi iz krivdnega razloga (tretja alineja prvega odstavka 89. člena ZDR-1) ali izredna odpoved pogodbe o zaposlitvi zaradi kršenja pogodbenih in drugih obveznosti iz delovnega razmerja naklepoma ali iz hude malomarnosti (druga alineja 110. člena ZDR-1), delavskemu predstavniku</w:t>
      </w:r>
      <w:r w:rsidR="000E7F04" w:rsidRPr="00F92607">
        <w:rPr>
          <w:i/>
        </w:rPr>
        <w:t xml:space="preserve"> podana le na podlagi pravnomočno ugotovljene </w:t>
      </w:r>
      <w:r w:rsidR="0033640F" w:rsidRPr="00F92607">
        <w:rPr>
          <w:i/>
        </w:rPr>
        <w:t>kršitve.</w:t>
      </w:r>
    </w:p>
    <w:p w14:paraId="6AEC42AC" w14:textId="77777777" w:rsidR="00D73684" w:rsidRPr="00F92607" w:rsidRDefault="00D73684" w:rsidP="00D73684">
      <w:pPr>
        <w:pStyle w:val="Navadensplet"/>
        <w:spacing w:before="0" w:beforeAutospacing="0" w:after="0" w:afterAutospacing="0"/>
        <w:jc w:val="both"/>
      </w:pPr>
    </w:p>
    <w:p w14:paraId="04C6B41A" w14:textId="77777777" w:rsidR="00D73684" w:rsidRPr="00F92607" w:rsidRDefault="00D73684" w:rsidP="00D73684">
      <w:pPr>
        <w:pStyle w:val="Navadensplet"/>
        <w:spacing w:before="0" w:beforeAutospacing="0" w:after="0" w:afterAutospacing="0"/>
        <w:jc w:val="center"/>
        <w:rPr>
          <w:b/>
        </w:rPr>
      </w:pPr>
      <w:r w:rsidRPr="00F92607">
        <w:rPr>
          <w:b/>
        </w:rPr>
        <w:t>II.</w:t>
      </w:r>
    </w:p>
    <w:p w14:paraId="55F80769" w14:textId="77777777" w:rsidR="00D73684" w:rsidRPr="00F92607" w:rsidRDefault="00D73684" w:rsidP="00D73684">
      <w:pPr>
        <w:pStyle w:val="Navadensplet"/>
        <w:spacing w:before="0" w:beforeAutospacing="0" w:after="0" w:afterAutospacing="0"/>
        <w:jc w:val="both"/>
        <w:rPr>
          <w:i/>
        </w:rPr>
      </w:pPr>
      <w:r w:rsidRPr="00F92607">
        <w:rPr>
          <w:i/>
        </w:rPr>
        <w:t>Opozorilo pred redno odpovedjo pogodbe o zaposlitvi delavskemu predstavniku iz krivdnega razloga po prvem odstavku 85. člena Zakona o delovnih razmerjih (Uradni list RS, št. 21/2013) uživa samostojno pravno varstvo in ne more predstavljati procesne predpostavke za redno odpoved, dokler ni pravnomočno.</w:t>
      </w:r>
    </w:p>
    <w:p w14:paraId="2741294D" w14:textId="77777777" w:rsidR="00D73684" w:rsidRPr="00F92607" w:rsidRDefault="00D73684" w:rsidP="00D73684">
      <w:pPr>
        <w:pStyle w:val="Navadensplet"/>
        <w:spacing w:before="0" w:beforeAutospacing="0" w:after="0" w:afterAutospacing="0"/>
        <w:jc w:val="both"/>
      </w:pPr>
    </w:p>
    <w:p w14:paraId="09DA46DE" w14:textId="77777777" w:rsidR="007B642B" w:rsidRPr="00F92607" w:rsidRDefault="00D73684" w:rsidP="00C651FB">
      <w:pPr>
        <w:pStyle w:val="Navadensplet"/>
        <w:spacing w:before="0" w:beforeAutospacing="0" w:after="0" w:afterAutospacing="0"/>
        <w:jc w:val="both"/>
      </w:pPr>
      <w:r w:rsidRPr="00F92607">
        <w:rPr>
          <w:b/>
          <w:i/>
        </w:rPr>
        <w:t>Varianta:</w:t>
      </w:r>
      <w:r w:rsidRPr="00F92607">
        <w:rPr>
          <w:i/>
        </w:rPr>
        <w:t xml:space="preserve"> </w:t>
      </w:r>
      <w:r w:rsidRPr="00F92607">
        <w:t xml:space="preserve">iz </w:t>
      </w:r>
      <w:r w:rsidR="000661FB" w:rsidRPr="00F92607">
        <w:t>zgoraj predlaganega besedila pod tč. II</w:t>
      </w:r>
      <w:r w:rsidRPr="00F92607">
        <w:t xml:space="preserve"> se črtajo besede </w:t>
      </w:r>
      <w:r w:rsidRPr="00F92607">
        <w:rPr>
          <w:i/>
        </w:rPr>
        <w:t>»delavskemu predstavniku«</w:t>
      </w:r>
      <w:r w:rsidRPr="00F92607">
        <w:t>, tako da se ta avtentična razlaga razširi na vse primere podanih tovrstnih opozoril.</w:t>
      </w:r>
    </w:p>
    <w:sectPr w:rsidR="007B642B" w:rsidRPr="00F92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119"/>
    <w:multiLevelType w:val="hybridMultilevel"/>
    <w:tmpl w:val="4E0A5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582CB9"/>
    <w:multiLevelType w:val="hybridMultilevel"/>
    <w:tmpl w:val="F580E1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697F51"/>
    <w:multiLevelType w:val="hybridMultilevel"/>
    <w:tmpl w:val="1450B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26F08"/>
    <w:multiLevelType w:val="hybridMultilevel"/>
    <w:tmpl w:val="B66E4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CC5971"/>
    <w:multiLevelType w:val="hybridMultilevel"/>
    <w:tmpl w:val="5F8A8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10210AB"/>
    <w:multiLevelType w:val="hybridMultilevel"/>
    <w:tmpl w:val="5E7E9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FDE4337"/>
    <w:multiLevelType w:val="hybridMultilevel"/>
    <w:tmpl w:val="A2D414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B0"/>
    <w:rsid w:val="00010F28"/>
    <w:rsid w:val="000128C5"/>
    <w:rsid w:val="00030FF4"/>
    <w:rsid w:val="00036374"/>
    <w:rsid w:val="00037398"/>
    <w:rsid w:val="000459D5"/>
    <w:rsid w:val="000661FB"/>
    <w:rsid w:val="00081FCD"/>
    <w:rsid w:val="00087464"/>
    <w:rsid w:val="00091BA3"/>
    <w:rsid w:val="00097FF8"/>
    <w:rsid w:val="000A20DA"/>
    <w:rsid w:val="000A6C41"/>
    <w:rsid w:val="000B63D3"/>
    <w:rsid w:val="000E7F04"/>
    <w:rsid w:val="000F553D"/>
    <w:rsid w:val="0010683D"/>
    <w:rsid w:val="00110D1D"/>
    <w:rsid w:val="0011525D"/>
    <w:rsid w:val="00146EB6"/>
    <w:rsid w:val="001556CC"/>
    <w:rsid w:val="001576F4"/>
    <w:rsid w:val="00170120"/>
    <w:rsid w:val="00170896"/>
    <w:rsid w:val="00170E1D"/>
    <w:rsid w:val="001730E8"/>
    <w:rsid w:val="00177714"/>
    <w:rsid w:val="00180A8C"/>
    <w:rsid w:val="001B5AD0"/>
    <w:rsid w:val="001D2D28"/>
    <w:rsid w:val="001E03D1"/>
    <w:rsid w:val="001F4B1C"/>
    <w:rsid w:val="002169B6"/>
    <w:rsid w:val="002208B2"/>
    <w:rsid w:val="00227BDB"/>
    <w:rsid w:val="00230C8C"/>
    <w:rsid w:val="002470C1"/>
    <w:rsid w:val="00273355"/>
    <w:rsid w:val="00294232"/>
    <w:rsid w:val="00296D9D"/>
    <w:rsid w:val="002A2389"/>
    <w:rsid w:val="002B07C8"/>
    <w:rsid w:val="002C5E7D"/>
    <w:rsid w:val="003041E2"/>
    <w:rsid w:val="00305F32"/>
    <w:rsid w:val="003173EF"/>
    <w:rsid w:val="00330E0F"/>
    <w:rsid w:val="00332DBB"/>
    <w:rsid w:val="0033640F"/>
    <w:rsid w:val="00341EB8"/>
    <w:rsid w:val="00342A8C"/>
    <w:rsid w:val="003517DF"/>
    <w:rsid w:val="0035245B"/>
    <w:rsid w:val="00363363"/>
    <w:rsid w:val="00370DE0"/>
    <w:rsid w:val="003A75ED"/>
    <w:rsid w:val="003B016F"/>
    <w:rsid w:val="003B423F"/>
    <w:rsid w:val="003D3935"/>
    <w:rsid w:val="00413BDE"/>
    <w:rsid w:val="00433D1D"/>
    <w:rsid w:val="004445BD"/>
    <w:rsid w:val="0045353B"/>
    <w:rsid w:val="00460711"/>
    <w:rsid w:val="00473822"/>
    <w:rsid w:val="004A70D9"/>
    <w:rsid w:val="004B0A7E"/>
    <w:rsid w:val="004D6EF2"/>
    <w:rsid w:val="00526FEB"/>
    <w:rsid w:val="00527D64"/>
    <w:rsid w:val="00535EFE"/>
    <w:rsid w:val="00547CD3"/>
    <w:rsid w:val="00556F53"/>
    <w:rsid w:val="00570458"/>
    <w:rsid w:val="0058416C"/>
    <w:rsid w:val="00596F7E"/>
    <w:rsid w:val="005A5006"/>
    <w:rsid w:val="005B0D7A"/>
    <w:rsid w:val="005B2480"/>
    <w:rsid w:val="005B737A"/>
    <w:rsid w:val="005C2DB7"/>
    <w:rsid w:val="005D12ED"/>
    <w:rsid w:val="005D5771"/>
    <w:rsid w:val="005D6426"/>
    <w:rsid w:val="005D74F5"/>
    <w:rsid w:val="005F19AA"/>
    <w:rsid w:val="005F2028"/>
    <w:rsid w:val="005F57AB"/>
    <w:rsid w:val="00600D63"/>
    <w:rsid w:val="006023A8"/>
    <w:rsid w:val="00624500"/>
    <w:rsid w:val="0062467D"/>
    <w:rsid w:val="00637684"/>
    <w:rsid w:val="00651DC3"/>
    <w:rsid w:val="00653418"/>
    <w:rsid w:val="00660111"/>
    <w:rsid w:val="00667E2C"/>
    <w:rsid w:val="00675B69"/>
    <w:rsid w:val="0067630E"/>
    <w:rsid w:val="00684B5F"/>
    <w:rsid w:val="006877ED"/>
    <w:rsid w:val="00694602"/>
    <w:rsid w:val="006B6AF5"/>
    <w:rsid w:val="006C07DF"/>
    <w:rsid w:val="006C48E7"/>
    <w:rsid w:val="006F396C"/>
    <w:rsid w:val="00702219"/>
    <w:rsid w:val="00702DCA"/>
    <w:rsid w:val="00705CF6"/>
    <w:rsid w:val="00706CB2"/>
    <w:rsid w:val="007275AF"/>
    <w:rsid w:val="007343DF"/>
    <w:rsid w:val="0074343A"/>
    <w:rsid w:val="00743C4A"/>
    <w:rsid w:val="00747BC6"/>
    <w:rsid w:val="007557B0"/>
    <w:rsid w:val="00766DA7"/>
    <w:rsid w:val="007677BF"/>
    <w:rsid w:val="00771E61"/>
    <w:rsid w:val="00773CA6"/>
    <w:rsid w:val="0078247B"/>
    <w:rsid w:val="00795D9C"/>
    <w:rsid w:val="007A50AA"/>
    <w:rsid w:val="007B642B"/>
    <w:rsid w:val="007C6E5E"/>
    <w:rsid w:val="007D41B4"/>
    <w:rsid w:val="007E2128"/>
    <w:rsid w:val="00803FD5"/>
    <w:rsid w:val="0080562A"/>
    <w:rsid w:val="008110B5"/>
    <w:rsid w:val="00815CE5"/>
    <w:rsid w:val="00817259"/>
    <w:rsid w:val="00824A4D"/>
    <w:rsid w:val="008559E3"/>
    <w:rsid w:val="00856FBF"/>
    <w:rsid w:val="008723B4"/>
    <w:rsid w:val="00887A7C"/>
    <w:rsid w:val="0089022B"/>
    <w:rsid w:val="008A1885"/>
    <w:rsid w:val="008A5C4A"/>
    <w:rsid w:val="008B3508"/>
    <w:rsid w:val="008B4026"/>
    <w:rsid w:val="008B45E6"/>
    <w:rsid w:val="008B6CF2"/>
    <w:rsid w:val="008C785D"/>
    <w:rsid w:val="008D0DFB"/>
    <w:rsid w:val="008D630B"/>
    <w:rsid w:val="00903C45"/>
    <w:rsid w:val="009057E6"/>
    <w:rsid w:val="0091114C"/>
    <w:rsid w:val="00912038"/>
    <w:rsid w:val="00912E13"/>
    <w:rsid w:val="00924F81"/>
    <w:rsid w:val="009358A4"/>
    <w:rsid w:val="009420DA"/>
    <w:rsid w:val="0095538A"/>
    <w:rsid w:val="0097347F"/>
    <w:rsid w:val="009823C6"/>
    <w:rsid w:val="00992EE9"/>
    <w:rsid w:val="009A560F"/>
    <w:rsid w:val="009D3F3A"/>
    <w:rsid w:val="009D7E53"/>
    <w:rsid w:val="009E589C"/>
    <w:rsid w:val="009F1951"/>
    <w:rsid w:val="009F1C57"/>
    <w:rsid w:val="00A002E0"/>
    <w:rsid w:val="00A06E5E"/>
    <w:rsid w:val="00A22ECF"/>
    <w:rsid w:val="00A2575A"/>
    <w:rsid w:val="00A5017B"/>
    <w:rsid w:val="00A55464"/>
    <w:rsid w:val="00A576A7"/>
    <w:rsid w:val="00A63CD0"/>
    <w:rsid w:val="00A65FAC"/>
    <w:rsid w:val="00A71891"/>
    <w:rsid w:val="00A76781"/>
    <w:rsid w:val="00A8558A"/>
    <w:rsid w:val="00A978F5"/>
    <w:rsid w:val="00AC698A"/>
    <w:rsid w:val="00AD436B"/>
    <w:rsid w:val="00AD5284"/>
    <w:rsid w:val="00AE3301"/>
    <w:rsid w:val="00AF1A01"/>
    <w:rsid w:val="00AF2354"/>
    <w:rsid w:val="00AF7984"/>
    <w:rsid w:val="00B37131"/>
    <w:rsid w:val="00B42B2B"/>
    <w:rsid w:val="00B473C6"/>
    <w:rsid w:val="00B52954"/>
    <w:rsid w:val="00B71813"/>
    <w:rsid w:val="00B76B10"/>
    <w:rsid w:val="00B81F36"/>
    <w:rsid w:val="00B84171"/>
    <w:rsid w:val="00B841A8"/>
    <w:rsid w:val="00B8624A"/>
    <w:rsid w:val="00BB2034"/>
    <w:rsid w:val="00BB38C8"/>
    <w:rsid w:val="00BC127E"/>
    <w:rsid w:val="00BD62B7"/>
    <w:rsid w:val="00BD67FB"/>
    <w:rsid w:val="00BE3A70"/>
    <w:rsid w:val="00C00734"/>
    <w:rsid w:val="00C034A3"/>
    <w:rsid w:val="00C103DC"/>
    <w:rsid w:val="00C119DF"/>
    <w:rsid w:val="00C4237D"/>
    <w:rsid w:val="00C4383C"/>
    <w:rsid w:val="00C55CF3"/>
    <w:rsid w:val="00C64BA4"/>
    <w:rsid w:val="00C651FB"/>
    <w:rsid w:val="00C8187E"/>
    <w:rsid w:val="00C84F2E"/>
    <w:rsid w:val="00C92FD2"/>
    <w:rsid w:val="00C930D0"/>
    <w:rsid w:val="00C94B8B"/>
    <w:rsid w:val="00CD7C41"/>
    <w:rsid w:val="00D058A4"/>
    <w:rsid w:val="00D24C5B"/>
    <w:rsid w:val="00D53E50"/>
    <w:rsid w:val="00D73403"/>
    <w:rsid w:val="00D73684"/>
    <w:rsid w:val="00D85B4B"/>
    <w:rsid w:val="00D91709"/>
    <w:rsid w:val="00D917CC"/>
    <w:rsid w:val="00DA56EB"/>
    <w:rsid w:val="00DB38AB"/>
    <w:rsid w:val="00DB623B"/>
    <w:rsid w:val="00DD5A4B"/>
    <w:rsid w:val="00DE4A24"/>
    <w:rsid w:val="00DE4E72"/>
    <w:rsid w:val="00E119A7"/>
    <w:rsid w:val="00E263EE"/>
    <w:rsid w:val="00E54C14"/>
    <w:rsid w:val="00E651B1"/>
    <w:rsid w:val="00E73F6A"/>
    <w:rsid w:val="00EA4BFD"/>
    <w:rsid w:val="00EA6845"/>
    <w:rsid w:val="00EC1A45"/>
    <w:rsid w:val="00EE5C39"/>
    <w:rsid w:val="00F2201B"/>
    <w:rsid w:val="00F278C1"/>
    <w:rsid w:val="00F3141F"/>
    <w:rsid w:val="00F73252"/>
    <w:rsid w:val="00F765D8"/>
    <w:rsid w:val="00F83BD4"/>
    <w:rsid w:val="00F862FB"/>
    <w:rsid w:val="00F92607"/>
    <w:rsid w:val="00FA383C"/>
    <w:rsid w:val="00FA3C92"/>
    <w:rsid w:val="00FB3F9B"/>
    <w:rsid w:val="00FB676D"/>
    <w:rsid w:val="00FC490B"/>
    <w:rsid w:val="00FE2E3D"/>
    <w:rsid w:val="00FF1382"/>
    <w:rsid w:val="00FF5F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535EFE"/>
    <w:pPr>
      <w:ind w:left="720"/>
      <w:contextualSpacing/>
    </w:pPr>
  </w:style>
  <w:style w:type="paragraph" w:styleId="Navadensplet">
    <w:name w:val="Normal (Web)"/>
    <w:basedOn w:val="Navaden"/>
    <w:unhideWhenUsed/>
    <w:rsid w:val="00D73684"/>
    <w:pPr>
      <w:spacing w:before="100" w:beforeAutospacing="1" w:after="100" w:afterAutospacing="1"/>
    </w:pPr>
    <w:rPr>
      <w:rFonts w:eastAsia="Times New Roman" w:cs="Times New Roman"/>
    </w:rPr>
  </w:style>
  <w:style w:type="paragraph" w:styleId="Besedilooblaka">
    <w:name w:val="Balloon Text"/>
    <w:basedOn w:val="Navaden"/>
    <w:link w:val="BesedilooblakaZnak"/>
    <w:uiPriority w:val="99"/>
    <w:semiHidden/>
    <w:unhideWhenUsed/>
    <w:rsid w:val="00AF1A0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A01"/>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535EFE"/>
    <w:pPr>
      <w:ind w:left="720"/>
      <w:contextualSpacing/>
    </w:pPr>
  </w:style>
  <w:style w:type="paragraph" w:styleId="Navadensplet">
    <w:name w:val="Normal (Web)"/>
    <w:basedOn w:val="Navaden"/>
    <w:unhideWhenUsed/>
    <w:rsid w:val="00D73684"/>
    <w:pPr>
      <w:spacing w:before="100" w:beforeAutospacing="1" w:after="100" w:afterAutospacing="1"/>
    </w:pPr>
    <w:rPr>
      <w:rFonts w:eastAsia="Times New Roman" w:cs="Times New Roman"/>
    </w:rPr>
  </w:style>
  <w:style w:type="paragraph" w:styleId="Besedilooblaka">
    <w:name w:val="Balloon Text"/>
    <w:basedOn w:val="Navaden"/>
    <w:link w:val="BesedilooblakaZnak"/>
    <w:uiPriority w:val="99"/>
    <w:semiHidden/>
    <w:unhideWhenUsed/>
    <w:rsid w:val="00AF1A0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A01"/>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8944D-39C8-4608-9232-EEC9064A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2298</Words>
  <Characters>13105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dc:creator>
  <cp:lastModifiedBy>Mato</cp:lastModifiedBy>
  <cp:revision>14</cp:revision>
  <cp:lastPrinted>2019-04-17T10:45:00Z</cp:lastPrinted>
  <dcterms:created xsi:type="dcterms:W3CDTF">2019-04-19T07:22:00Z</dcterms:created>
  <dcterms:modified xsi:type="dcterms:W3CDTF">2019-04-20T08:33:00Z</dcterms:modified>
</cp:coreProperties>
</file>